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06EB" w14:textId="77777777" w:rsidR="00D45E7A" w:rsidRPr="00603660" w:rsidRDefault="00D45E7A" w:rsidP="001A0532">
      <w:pPr>
        <w:tabs>
          <w:tab w:val="left" w:pos="4253"/>
          <w:tab w:val="left" w:pos="4536"/>
        </w:tabs>
        <w:spacing w:after="0" w:line="240" w:lineRule="auto"/>
        <w:jc w:val="center"/>
        <w:rPr>
          <w:rFonts w:ascii="Times New Roman" w:hAnsi="Times New Roman" w:cs="Times New Roman"/>
          <w:b/>
          <w:bCs/>
          <w:sz w:val="24"/>
          <w:szCs w:val="24"/>
        </w:rPr>
      </w:pPr>
      <w:r w:rsidRPr="00603660">
        <w:rPr>
          <w:rFonts w:ascii="Times New Roman" w:hAnsi="Times New Roman" w:cs="Times New Roman"/>
          <w:b/>
          <w:bCs/>
          <w:sz w:val="24"/>
          <w:szCs w:val="24"/>
        </w:rPr>
        <w:t>Ministru kabineta rīkojuma projekta</w:t>
      </w:r>
    </w:p>
    <w:p w14:paraId="680A414E" w14:textId="3D62E074" w:rsidR="00D45E7A" w:rsidRPr="00603660" w:rsidRDefault="00EC18E0" w:rsidP="001A0532">
      <w:pPr>
        <w:tabs>
          <w:tab w:val="right" w:pos="9639"/>
        </w:tabs>
        <w:spacing w:after="0" w:line="240" w:lineRule="auto"/>
        <w:jc w:val="center"/>
        <w:rPr>
          <w:rFonts w:ascii="Times New Roman" w:hAnsi="Times New Roman" w:cs="Times New Roman"/>
          <w:b/>
          <w:bCs/>
          <w:sz w:val="24"/>
          <w:szCs w:val="24"/>
        </w:rPr>
      </w:pPr>
      <w:r w:rsidRPr="00603660">
        <w:rPr>
          <w:rFonts w:ascii="Times New Roman" w:hAnsi="Times New Roman" w:cs="Times New Roman"/>
          <w:b/>
          <w:bCs/>
          <w:sz w:val="24"/>
          <w:szCs w:val="24"/>
        </w:rPr>
        <w:t>“</w:t>
      </w:r>
      <w:r w:rsidR="00AB237A" w:rsidRPr="00603660">
        <w:rPr>
          <w:rFonts w:ascii="Times New Roman" w:hAnsi="Times New Roman" w:cs="Times New Roman"/>
          <w:b/>
          <w:bCs/>
          <w:sz w:val="24"/>
          <w:szCs w:val="24"/>
        </w:rPr>
        <w:t>Par valstij piekrītošā nekustamā īpašuma Aleksandra Grīna bulvārī 13-31, Rīgā</w:t>
      </w:r>
      <w:r w:rsidR="00603660" w:rsidRPr="00603660">
        <w:rPr>
          <w:rFonts w:ascii="Times New Roman" w:hAnsi="Times New Roman" w:cs="Times New Roman"/>
          <w:b/>
          <w:bCs/>
          <w:sz w:val="24"/>
          <w:szCs w:val="24"/>
        </w:rPr>
        <w:t>,</w:t>
      </w:r>
      <w:r w:rsidR="00AB237A" w:rsidRPr="00603660">
        <w:rPr>
          <w:rFonts w:ascii="Times New Roman" w:hAnsi="Times New Roman" w:cs="Times New Roman"/>
          <w:b/>
          <w:bCs/>
          <w:sz w:val="24"/>
          <w:szCs w:val="24"/>
        </w:rPr>
        <w:t xml:space="preserve"> nodošanu Rīgas pilsētas pašvaldības īpašumā</w:t>
      </w:r>
      <w:r w:rsidR="00D45E7A" w:rsidRPr="00603660">
        <w:rPr>
          <w:rFonts w:ascii="Times New Roman" w:hAnsi="Times New Roman" w:cs="Times New Roman"/>
          <w:b/>
          <w:bCs/>
          <w:sz w:val="24"/>
          <w:szCs w:val="24"/>
        </w:rPr>
        <w:t>”</w:t>
      </w:r>
    </w:p>
    <w:p w14:paraId="6C7848AA" w14:textId="77777777" w:rsidR="00D45E7A" w:rsidRPr="00603660" w:rsidRDefault="00D45E7A" w:rsidP="001A0532">
      <w:pPr>
        <w:spacing w:after="0" w:line="240" w:lineRule="auto"/>
        <w:jc w:val="center"/>
        <w:rPr>
          <w:rFonts w:ascii="Times New Roman" w:hAnsi="Times New Roman" w:cs="Times New Roman"/>
          <w:b/>
          <w:bCs/>
          <w:sz w:val="24"/>
          <w:szCs w:val="24"/>
        </w:rPr>
      </w:pPr>
      <w:r w:rsidRPr="00603660">
        <w:rPr>
          <w:rFonts w:ascii="Times New Roman" w:hAnsi="Times New Roman" w:cs="Times New Roman"/>
          <w:b/>
          <w:bCs/>
          <w:sz w:val="24"/>
          <w:szCs w:val="24"/>
        </w:rPr>
        <w:t>sākotnējās ietekmes novērtējuma ziņojums (anotācija)</w:t>
      </w:r>
    </w:p>
    <w:p w14:paraId="5D88A136" w14:textId="77777777" w:rsidR="00D45E7A" w:rsidRPr="00C04745" w:rsidRDefault="00D45E7A" w:rsidP="001A0532">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C04745" w:rsidRPr="00C04745" w14:paraId="7B7B11FC"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D9D6D68" w14:textId="77777777" w:rsidR="00655F2C" w:rsidRPr="00C04745" w:rsidRDefault="00E5323B" w:rsidP="001A0532">
            <w:pPr>
              <w:spacing w:after="0" w:line="240" w:lineRule="auto"/>
              <w:jc w:val="center"/>
              <w:rPr>
                <w:rFonts w:ascii="Times New Roman" w:eastAsia="Times New Roman" w:hAnsi="Times New Roman" w:cs="Times New Roman"/>
                <w:b/>
                <w:bCs/>
                <w:iCs/>
                <w:sz w:val="24"/>
                <w:szCs w:val="24"/>
                <w:lang w:val="sv-SE" w:eastAsia="lv-LV"/>
              </w:rPr>
            </w:pPr>
            <w:r w:rsidRPr="00C04745">
              <w:rPr>
                <w:rFonts w:ascii="Times New Roman" w:hAnsi="Times New Roman" w:cs="Times New Roman"/>
                <w:b/>
                <w:bCs/>
                <w:sz w:val="24"/>
                <w:szCs w:val="24"/>
              </w:rPr>
              <w:t>Tiesību akta projekta anotācijas kopsavilkums</w:t>
            </w:r>
          </w:p>
        </w:tc>
      </w:tr>
      <w:tr w:rsidR="00C04745" w:rsidRPr="00C04745" w14:paraId="666DE485"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B6DDD4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bCs/>
                <w:sz w:val="24"/>
                <w:szCs w:val="24"/>
              </w:rPr>
              <w:t>Mērķis, risinājums un projekta spēkā stāšanās laiks</w:t>
            </w:r>
            <w:r w:rsidR="009A77E3" w:rsidRPr="00C04745">
              <w:rPr>
                <w:rFonts w:ascii="Times New Roman" w:hAnsi="Times New Roman" w:cs="Times New Roman"/>
                <w:sz w:val="24"/>
                <w:szCs w:val="24"/>
              </w:rPr>
              <w:t xml:space="preserve">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CE6920" w14:textId="4D8C0B18" w:rsidR="007249C1" w:rsidRPr="00C04745" w:rsidRDefault="007D4C0F" w:rsidP="00337723">
            <w:pPr>
              <w:tabs>
                <w:tab w:val="right" w:pos="9639"/>
              </w:tabs>
              <w:spacing w:after="0" w:line="240" w:lineRule="auto"/>
              <w:ind w:firstLine="313"/>
              <w:jc w:val="both"/>
              <w:rPr>
                <w:rFonts w:ascii="Times New Roman" w:hAnsi="Times New Roman" w:cs="Times New Roman"/>
                <w:sz w:val="24"/>
                <w:szCs w:val="24"/>
              </w:rPr>
            </w:pPr>
            <w:r w:rsidRPr="00C04745">
              <w:rPr>
                <w:rFonts w:ascii="Times New Roman" w:hAnsi="Times New Roman" w:cs="Times New Roman"/>
                <w:sz w:val="24"/>
                <w:szCs w:val="24"/>
              </w:rPr>
              <w:t>Ministru kabineta rīkojuma projekt</w:t>
            </w:r>
            <w:r w:rsidR="005574F8" w:rsidRPr="00C04745">
              <w:rPr>
                <w:rFonts w:ascii="Times New Roman" w:hAnsi="Times New Roman" w:cs="Times New Roman"/>
                <w:sz w:val="24"/>
                <w:szCs w:val="24"/>
              </w:rPr>
              <w:t>a</w:t>
            </w:r>
            <w:r w:rsidRPr="00C04745">
              <w:rPr>
                <w:rFonts w:ascii="Times New Roman" w:hAnsi="Times New Roman" w:cs="Times New Roman"/>
                <w:sz w:val="24"/>
                <w:szCs w:val="24"/>
              </w:rPr>
              <w:t xml:space="preserve"> </w:t>
            </w:r>
            <w:r w:rsidR="00EC18E0" w:rsidRPr="00C04745">
              <w:rPr>
                <w:rFonts w:ascii="Times New Roman" w:hAnsi="Times New Roman" w:cs="Times New Roman"/>
                <w:sz w:val="24"/>
                <w:szCs w:val="24"/>
              </w:rPr>
              <w:t>“</w:t>
            </w:r>
            <w:r w:rsidR="00BF40DD" w:rsidRPr="00C04745">
              <w:rPr>
                <w:rFonts w:ascii="Times New Roman" w:hAnsi="Times New Roman" w:cs="Times New Roman"/>
                <w:bCs/>
                <w:sz w:val="24"/>
                <w:szCs w:val="24"/>
              </w:rPr>
              <w:t>Par valstij piekrītošā nekustamā īpašuma Aleksandra Grīna bulvārī 13-31, Rīgā nodošanu Rīgas pilsētas pašvaldības īpašumā</w:t>
            </w:r>
            <w:r w:rsidR="004D3149" w:rsidRPr="00C04745">
              <w:rPr>
                <w:rFonts w:ascii="Times New Roman" w:hAnsi="Times New Roman" w:cs="Times New Roman"/>
                <w:sz w:val="24"/>
                <w:szCs w:val="24"/>
              </w:rPr>
              <w:t xml:space="preserve">” </w:t>
            </w:r>
            <w:r w:rsidRPr="00C04745">
              <w:rPr>
                <w:rFonts w:ascii="Times New Roman" w:hAnsi="Times New Roman" w:cs="Times New Roman"/>
                <w:sz w:val="24"/>
                <w:szCs w:val="24"/>
              </w:rPr>
              <w:t>(turpmāk – Rīkojuma projekts)</w:t>
            </w:r>
            <w:r w:rsidRPr="00C04745">
              <w:rPr>
                <w:rFonts w:ascii="Times New Roman" w:hAnsi="Times New Roman" w:cs="Times New Roman"/>
                <w:b/>
                <w:sz w:val="24"/>
                <w:szCs w:val="24"/>
              </w:rPr>
              <w:t xml:space="preserve"> </w:t>
            </w:r>
            <w:r w:rsidR="005574F8" w:rsidRPr="00C04745">
              <w:rPr>
                <w:rFonts w:ascii="Times New Roman" w:hAnsi="Times New Roman" w:cs="Times New Roman"/>
                <w:sz w:val="24"/>
                <w:szCs w:val="24"/>
              </w:rPr>
              <w:t xml:space="preserve">mērķis ir nodot </w:t>
            </w:r>
            <w:r w:rsidR="00175556" w:rsidRPr="00C04745">
              <w:rPr>
                <w:rFonts w:ascii="Times New Roman" w:hAnsi="Times New Roman" w:cs="Times New Roman"/>
                <w:sz w:val="24"/>
                <w:szCs w:val="24"/>
              </w:rPr>
              <w:t xml:space="preserve">bez atlīdzības </w:t>
            </w:r>
            <w:r w:rsidR="005574F8" w:rsidRPr="00C04745">
              <w:rPr>
                <w:rFonts w:ascii="Times New Roman" w:hAnsi="Times New Roman" w:cs="Times New Roman"/>
                <w:sz w:val="24"/>
                <w:szCs w:val="24"/>
              </w:rPr>
              <w:t>valstij piekrītoš</w:t>
            </w:r>
            <w:r w:rsidR="00F80B30" w:rsidRPr="00C04745">
              <w:rPr>
                <w:rFonts w:ascii="Times New Roman" w:hAnsi="Times New Roman" w:cs="Times New Roman"/>
                <w:sz w:val="24"/>
                <w:szCs w:val="24"/>
              </w:rPr>
              <w:t>o</w:t>
            </w:r>
            <w:r w:rsidR="005574F8" w:rsidRPr="00C04745">
              <w:rPr>
                <w:rFonts w:ascii="Times New Roman" w:hAnsi="Times New Roman" w:cs="Times New Roman"/>
                <w:sz w:val="24"/>
                <w:szCs w:val="24"/>
              </w:rPr>
              <w:t xml:space="preserve"> </w:t>
            </w:r>
            <w:r w:rsidR="00375952" w:rsidRPr="00C04745">
              <w:rPr>
                <w:rFonts w:ascii="Times New Roman" w:hAnsi="Times New Roman" w:cs="Times New Roman"/>
                <w:sz w:val="24"/>
                <w:szCs w:val="24"/>
              </w:rPr>
              <w:t>nekustamo</w:t>
            </w:r>
            <w:r w:rsidR="005617A7" w:rsidRPr="00C04745">
              <w:rPr>
                <w:rFonts w:ascii="Times New Roman" w:hAnsi="Times New Roman" w:cs="Times New Roman"/>
                <w:sz w:val="24"/>
                <w:szCs w:val="24"/>
              </w:rPr>
              <w:t xml:space="preserve"> </w:t>
            </w:r>
            <w:r w:rsidR="005574F8" w:rsidRPr="00C04745">
              <w:rPr>
                <w:rFonts w:ascii="Times New Roman" w:hAnsi="Times New Roman" w:cs="Times New Roman"/>
                <w:sz w:val="24"/>
                <w:szCs w:val="24"/>
              </w:rPr>
              <w:t>īpašumu</w:t>
            </w:r>
            <w:r w:rsidR="00337723" w:rsidRPr="00C04745">
              <w:rPr>
                <w:rFonts w:ascii="Times New Roman" w:hAnsi="Times New Roman" w:cs="Times New Roman"/>
                <w:sz w:val="24"/>
                <w:szCs w:val="24"/>
              </w:rPr>
              <w:t xml:space="preserve"> Aleksandra Grīna bulvārī 13-31</w:t>
            </w:r>
            <w:r w:rsidR="00F80B30" w:rsidRPr="00C04745">
              <w:rPr>
                <w:rFonts w:ascii="Times New Roman" w:hAnsi="Times New Roman" w:cs="Times New Roman"/>
                <w:sz w:val="24"/>
                <w:szCs w:val="24"/>
              </w:rPr>
              <w:t xml:space="preserve"> </w:t>
            </w:r>
            <w:r w:rsidR="00B4371D" w:rsidRPr="00C04745">
              <w:rPr>
                <w:rFonts w:ascii="Times New Roman" w:hAnsi="Times New Roman" w:cs="Times New Roman"/>
                <w:sz w:val="24"/>
                <w:szCs w:val="24"/>
              </w:rPr>
              <w:t xml:space="preserve">Rīgas pilsētas </w:t>
            </w:r>
            <w:r w:rsidR="007E1CB9" w:rsidRPr="00C04745">
              <w:rPr>
                <w:rFonts w:ascii="Times New Roman" w:hAnsi="Times New Roman" w:cs="Times New Roman"/>
                <w:sz w:val="24"/>
                <w:szCs w:val="24"/>
              </w:rPr>
              <w:t>pašvaldīb</w:t>
            </w:r>
            <w:r w:rsidR="00B4371D" w:rsidRPr="00C04745">
              <w:rPr>
                <w:rFonts w:ascii="Times New Roman" w:hAnsi="Times New Roman" w:cs="Times New Roman"/>
                <w:sz w:val="24"/>
                <w:szCs w:val="24"/>
              </w:rPr>
              <w:t>as</w:t>
            </w:r>
            <w:r w:rsidR="005574F8" w:rsidRPr="00C04745">
              <w:rPr>
                <w:rFonts w:ascii="Times New Roman" w:hAnsi="Times New Roman" w:cs="Times New Roman"/>
                <w:sz w:val="24"/>
                <w:szCs w:val="24"/>
              </w:rPr>
              <w:t xml:space="preserve"> īpašumā Publiskas personas mantas atsavināšanas likumā (turpmāk</w:t>
            </w:r>
            <w:r w:rsidR="007E1CB9" w:rsidRPr="00C04745">
              <w:rPr>
                <w:rFonts w:ascii="Times New Roman" w:hAnsi="Times New Roman" w:cs="Times New Roman"/>
                <w:sz w:val="24"/>
                <w:szCs w:val="24"/>
              </w:rPr>
              <w:t xml:space="preserve"> </w:t>
            </w:r>
            <w:r w:rsidR="00EC18E0" w:rsidRPr="00C04745">
              <w:rPr>
                <w:rFonts w:ascii="Times New Roman" w:hAnsi="Times New Roman" w:cs="Times New Roman"/>
                <w:sz w:val="24"/>
                <w:szCs w:val="24"/>
              </w:rPr>
              <w:t>–</w:t>
            </w:r>
            <w:r w:rsidR="00C46FCA" w:rsidRPr="00C04745">
              <w:rPr>
                <w:rFonts w:ascii="Times New Roman" w:hAnsi="Times New Roman" w:cs="Times New Roman"/>
                <w:sz w:val="24"/>
                <w:szCs w:val="24"/>
              </w:rPr>
              <w:t xml:space="preserve"> </w:t>
            </w:r>
            <w:r w:rsidR="005574F8" w:rsidRPr="00C04745">
              <w:rPr>
                <w:rFonts w:ascii="Times New Roman" w:hAnsi="Times New Roman" w:cs="Times New Roman"/>
                <w:sz w:val="24"/>
                <w:szCs w:val="24"/>
              </w:rPr>
              <w:t>Atsavināšanas likums) noteiktajā kārtībā.</w:t>
            </w:r>
          </w:p>
          <w:p w14:paraId="09A3A7ED" w14:textId="77777777" w:rsidR="00E5323B" w:rsidRPr="00C04745" w:rsidRDefault="007249C1" w:rsidP="007F7377">
            <w:pPr>
              <w:spacing w:after="0" w:line="240" w:lineRule="auto"/>
              <w:ind w:firstLine="313"/>
              <w:jc w:val="both"/>
              <w:rPr>
                <w:rFonts w:ascii="Times New Roman" w:hAnsi="Times New Roman" w:cs="Times New Roman"/>
                <w:b/>
                <w:bCs/>
                <w:sz w:val="24"/>
                <w:szCs w:val="24"/>
              </w:rPr>
            </w:pPr>
            <w:r w:rsidRPr="00C04745">
              <w:rPr>
                <w:rFonts w:ascii="Times New Roman" w:hAnsi="Times New Roman" w:cs="Times New Roman"/>
                <w:sz w:val="24"/>
                <w:szCs w:val="24"/>
              </w:rPr>
              <w:t>Rīkojuma projekts stāsies spēkā pēc tā pieņemšanas Ministru kabinetā.</w:t>
            </w:r>
          </w:p>
        </w:tc>
      </w:tr>
    </w:tbl>
    <w:p w14:paraId="20E4BB37" w14:textId="77777777" w:rsidR="00E5323B" w:rsidRPr="00C04745" w:rsidRDefault="00E5323B" w:rsidP="001A0532">
      <w:pPr>
        <w:spacing w:after="0" w:line="240" w:lineRule="auto"/>
        <w:rPr>
          <w:rFonts w:ascii="Times New Roman" w:eastAsia="Times New Roman" w:hAnsi="Times New Roman" w:cs="Times New Roman"/>
          <w:iCs/>
          <w:sz w:val="28"/>
          <w:szCs w:val="28"/>
          <w:lang w:val="sv-SE" w:eastAsia="lv-LV"/>
        </w:rPr>
      </w:pPr>
      <w:r w:rsidRPr="00C04745">
        <w:rPr>
          <w:rFonts w:ascii="Times New Roman" w:eastAsia="Times New Roman" w:hAnsi="Times New Roman" w:cs="Times New Roman"/>
          <w:iCs/>
          <w:sz w:val="28"/>
          <w:szCs w:val="28"/>
          <w:lang w:val="sv-SE" w:eastAsia="lv-LV"/>
        </w:rPr>
        <w:t xml:space="preserve">  </w:t>
      </w:r>
    </w:p>
    <w:tbl>
      <w:tblPr>
        <w:tblW w:w="48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06"/>
        <w:gridCol w:w="5265"/>
      </w:tblGrid>
      <w:tr w:rsidR="00C04745" w:rsidRPr="00C04745" w14:paraId="4775B406" w14:textId="77777777" w:rsidTr="00F30A36">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EEF690" w14:textId="77777777" w:rsidR="00655F2C" w:rsidRPr="00C04745" w:rsidRDefault="00E5323B" w:rsidP="001A0532">
            <w:pPr>
              <w:spacing w:after="0" w:line="240" w:lineRule="auto"/>
              <w:jc w:val="center"/>
              <w:rPr>
                <w:rFonts w:ascii="Times New Roman" w:eastAsia="Times New Roman" w:hAnsi="Times New Roman" w:cs="Times New Roman"/>
                <w:b/>
                <w:bCs/>
                <w:iCs/>
                <w:sz w:val="24"/>
                <w:szCs w:val="24"/>
                <w:lang w:val="sv-SE" w:eastAsia="lv-LV"/>
              </w:rPr>
            </w:pPr>
            <w:r w:rsidRPr="00C04745">
              <w:rPr>
                <w:rFonts w:ascii="Times New Roman" w:hAnsi="Times New Roman" w:cs="Times New Roman"/>
                <w:b/>
                <w:bCs/>
                <w:sz w:val="24"/>
                <w:szCs w:val="24"/>
              </w:rPr>
              <w:t>I. Tiesību akta projekta izstrādes nepieciešamība</w:t>
            </w:r>
          </w:p>
        </w:tc>
      </w:tr>
      <w:tr w:rsidR="00C04745" w:rsidRPr="00C04745" w14:paraId="0525C329"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82F7D"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w:t>
            </w:r>
          </w:p>
        </w:tc>
        <w:tc>
          <w:tcPr>
            <w:tcW w:w="1695" w:type="pct"/>
            <w:tcBorders>
              <w:top w:val="outset" w:sz="6" w:space="0" w:color="auto"/>
              <w:left w:val="outset" w:sz="6" w:space="0" w:color="auto"/>
              <w:bottom w:val="outset" w:sz="6" w:space="0" w:color="auto"/>
              <w:right w:val="outset" w:sz="6" w:space="0" w:color="auto"/>
            </w:tcBorders>
            <w:hideMark/>
          </w:tcPr>
          <w:p w14:paraId="489288B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Pamatojums</w:t>
            </w:r>
          </w:p>
        </w:tc>
        <w:tc>
          <w:tcPr>
            <w:tcW w:w="2939" w:type="pct"/>
            <w:tcBorders>
              <w:top w:val="outset" w:sz="6" w:space="0" w:color="auto"/>
              <w:left w:val="outset" w:sz="6" w:space="0" w:color="auto"/>
              <w:bottom w:val="outset" w:sz="6" w:space="0" w:color="auto"/>
              <w:right w:val="outset" w:sz="6" w:space="0" w:color="auto"/>
            </w:tcBorders>
            <w:hideMark/>
          </w:tcPr>
          <w:p w14:paraId="3893475E" w14:textId="5D2ED654" w:rsidR="00E5323B" w:rsidRPr="00C04745" w:rsidRDefault="005574F8" w:rsidP="002215C9">
            <w:pPr>
              <w:tabs>
                <w:tab w:val="right" w:pos="9072"/>
              </w:tabs>
              <w:spacing w:after="0" w:line="240" w:lineRule="auto"/>
              <w:ind w:firstLine="341"/>
              <w:jc w:val="both"/>
              <w:rPr>
                <w:rFonts w:ascii="Times New Roman" w:hAnsi="Times New Roman" w:cs="Times New Roman"/>
                <w:sz w:val="24"/>
                <w:szCs w:val="24"/>
              </w:rPr>
            </w:pPr>
            <w:r w:rsidRPr="00C04745">
              <w:rPr>
                <w:rFonts w:ascii="Times New Roman" w:hAnsi="Times New Roman" w:cs="Times New Roman"/>
                <w:sz w:val="24"/>
                <w:szCs w:val="24"/>
              </w:rPr>
              <w:t>Atsavināšanas likum</w:t>
            </w:r>
            <w:r w:rsidR="00C37B70" w:rsidRPr="00C04745">
              <w:rPr>
                <w:rFonts w:ascii="Times New Roman" w:hAnsi="Times New Roman" w:cs="Times New Roman"/>
                <w:sz w:val="24"/>
                <w:szCs w:val="24"/>
              </w:rPr>
              <w:t>a</w:t>
            </w:r>
            <w:r w:rsidRPr="00C04745">
              <w:rPr>
                <w:rFonts w:ascii="Times New Roman" w:hAnsi="Times New Roman" w:cs="Times New Roman"/>
                <w:sz w:val="24"/>
                <w:szCs w:val="24"/>
              </w:rPr>
              <w:t xml:space="preserve"> 4</w:t>
            </w:r>
            <w:r w:rsidR="00273817" w:rsidRPr="00C04745">
              <w:rPr>
                <w:rFonts w:ascii="Times New Roman" w:hAnsi="Times New Roman" w:cs="Times New Roman"/>
                <w:sz w:val="24"/>
                <w:szCs w:val="24"/>
              </w:rPr>
              <w:t>2</w:t>
            </w:r>
            <w:r w:rsidRPr="00C04745">
              <w:rPr>
                <w:rFonts w:ascii="Times New Roman" w:hAnsi="Times New Roman" w:cs="Times New Roman"/>
                <w:sz w:val="24"/>
                <w:szCs w:val="24"/>
              </w:rPr>
              <w:t>.panta pirmā daļ</w:t>
            </w:r>
            <w:r w:rsidR="005E0952" w:rsidRPr="00C04745">
              <w:rPr>
                <w:rFonts w:ascii="Times New Roman" w:hAnsi="Times New Roman" w:cs="Times New Roman"/>
                <w:sz w:val="24"/>
                <w:szCs w:val="24"/>
              </w:rPr>
              <w:t>a</w:t>
            </w:r>
            <w:r w:rsidR="00273817" w:rsidRPr="00C04745">
              <w:rPr>
                <w:rFonts w:ascii="Times New Roman" w:hAnsi="Times New Roman" w:cs="Times New Roman"/>
                <w:sz w:val="24"/>
                <w:szCs w:val="24"/>
              </w:rPr>
              <w:t>, 42.</w:t>
            </w:r>
            <w:r w:rsidR="00273817" w:rsidRPr="00C04745">
              <w:rPr>
                <w:rFonts w:ascii="Times New Roman" w:hAnsi="Times New Roman" w:cs="Times New Roman"/>
                <w:sz w:val="24"/>
                <w:szCs w:val="24"/>
                <w:vertAlign w:val="superscript"/>
              </w:rPr>
              <w:t>1</w:t>
            </w:r>
            <w:r w:rsidR="00273817" w:rsidRPr="00C04745">
              <w:rPr>
                <w:rFonts w:ascii="Times New Roman" w:hAnsi="Times New Roman" w:cs="Times New Roman"/>
                <w:sz w:val="24"/>
                <w:szCs w:val="24"/>
              </w:rPr>
              <w:t xml:space="preserve"> un 43.pant</w:t>
            </w:r>
            <w:r w:rsidR="00F80B30" w:rsidRPr="00C04745">
              <w:rPr>
                <w:rFonts w:ascii="Times New Roman" w:hAnsi="Times New Roman" w:cs="Times New Roman"/>
                <w:sz w:val="24"/>
                <w:szCs w:val="24"/>
              </w:rPr>
              <w:t>s</w:t>
            </w:r>
            <w:r w:rsidR="001E2995" w:rsidRPr="00C04745">
              <w:rPr>
                <w:rFonts w:ascii="Times New Roman" w:hAnsi="Times New Roman" w:cs="Times New Roman"/>
                <w:sz w:val="24"/>
                <w:szCs w:val="24"/>
              </w:rPr>
              <w:t>,</w:t>
            </w:r>
            <w:r w:rsidRPr="00C04745">
              <w:rPr>
                <w:rFonts w:ascii="Times New Roman" w:hAnsi="Times New Roman" w:cs="Times New Roman"/>
                <w:sz w:val="24"/>
                <w:szCs w:val="24"/>
              </w:rPr>
              <w:t xml:space="preserve"> </w:t>
            </w:r>
            <w:r w:rsidR="00C46FCA" w:rsidRPr="00C04745">
              <w:rPr>
                <w:rFonts w:ascii="Times New Roman" w:hAnsi="Times New Roman" w:cs="Times New Roman"/>
                <w:sz w:val="24"/>
                <w:szCs w:val="24"/>
              </w:rPr>
              <w:t xml:space="preserve">45.panta pirmā daļa </w:t>
            </w:r>
            <w:r w:rsidRPr="00C04745">
              <w:rPr>
                <w:rFonts w:ascii="Times New Roman" w:hAnsi="Times New Roman" w:cs="Times New Roman"/>
                <w:sz w:val="24"/>
                <w:szCs w:val="24"/>
              </w:rPr>
              <w:t xml:space="preserve">un likuma </w:t>
            </w:r>
            <w:r w:rsidR="00EC18E0" w:rsidRPr="00C04745">
              <w:rPr>
                <w:rFonts w:ascii="Times New Roman" w:hAnsi="Times New Roman" w:cs="Times New Roman"/>
                <w:sz w:val="24"/>
                <w:szCs w:val="24"/>
              </w:rPr>
              <w:t>“</w:t>
            </w:r>
            <w:r w:rsidRPr="00C04745">
              <w:rPr>
                <w:rFonts w:ascii="Times New Roman" w:hAnsi="Times New Roman" w:cs="Times New Roman"/>
                <w:sz w:val="24"/>
                <w:szCs w:val="24"/>
              </w:rPr>
              <w:t xml:space="preserve">Par pašvaldībām” </w:t>
            </w:r>
            <w:r w:rsidR="00925BA7" w:rsidRPr="00C04745">
              <w:rPr>
                <w:rFonts w:ascii="Times New Roman" w:hAnsi="Times New Roman" w:cs="Times New Roman"/>
                <w:sz w:val="24"/>
                <w:szCs w:val="24"/>
              </w:rPr>
              <w:t>15.panta pirmās daļas 9.punkts</w:t>
            </w:r>
            <w:r w:rsidR="007F7377" w:rsidRPr="00C04745">
              <w:rPr>
                <w:rFonts w:ascii="Times New Roman" w:hAnsi="Times New Roman" w:cs="Times New Roman"/>
                <w:sz w:val="24"/>
                <w:szCs w:val="24"/>
              </w:rPr>
              <w:t>.</w:t>
            </w:r>
            <w:r w:rsidR="008F4340" w:rsidRPr="00C04745">
              <w:rPr>
                <w:sz w:val="24"/>
                <w:szCs w:val="24"/>
              </w:rPr>
              <w:t xml:space="preserve"> </w:t>
            </w:r>
          </w:p>
        </w:tc>
      </w:tr>
      <w:tr w:rsidR="00C04745" w:rsidRPr="00C04745" w14:paraId="5624D3A6" w14:textId="77777777" w:rsidTr="00F30A36">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BC9F7D"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w:t>
            </w:r>
          </w:p>
        </w:tc>
        <w:tc>
          <w:tcPr>
            <w:tcW w:w="1695" w:type="pct"/>
            <w:tcBorders>
              <w:top w:val="outset" w:sz="6" w:space="0" w:color="auto"/>
              <w:left w:val="outset" w:sz="6" w:space="0" w:color="auto"/>
              <w:bottom w:val="outset" w:sz="6" w:space="0" w:color="auto"/>
              <w:right w:val="outset" w:sz="6" w:space="0" w:color="auto"/>
            </w:tcBorders>
            <w:hideMark/>
          </w:tcPr>
          <w:p w14:paraId="233F3C9A" w14:textId="77777777" w:rsidR="00083640" w:rsidRPr="00C04745" w:rsidRDefault="00083640" w:rsidP="001A0532">
            <w:pPr>
              <w:pStyle w:val="Heading4"/>
              <w:spacing w:before="0" w:after="0"/>
              <w:jc w:val="both"/>
              <w:rPr>
                <w:rFonts w:ascii="Times New Roman" w:hAnsi="Times New Roman"/>
                <w:b w:val="0"/>
                <w:sz w:val="24"/>
                <w:szCs w:val="24"/>
                <w:lang w:val="lv-LV"/>
              </w:rPr>
            </w:pPr>
            <w:r w:rsidRPr="00C04745">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39" w:type="pct"/>
            <w:tcBorders>
              <w:top w:val="outset" w:sz="6" w:space="0" w:color="auto"/>
              <w:left w:val="outset" w:sz="6" w:space="0" w:color="auto"/>
              <w:bottom w:val="outset" w:sz="6" w:space="0" w:color="auto"/>
              <w:right w:val="outset" w:sz="6" w:space="0" w:color="auto"/>
            </w:tcBorders>
            <w:hideMark/>
          </w:tcPr>
          <w:p w14:paraId="387449E3" w14:textId="697BEE0B" w:rsidR="00174E00" w:rsidRPr="00C04745" w:rsidRDefault="00174E00" w:rsidP="00174E00">
            <w:pPr>
              <w:pStyle w:val="BodyText"/>
              <w:tabs>
                <w:tab w:val="left" w:pos="850"/>
              </w:tabs>
              <w:spacing w:after="0"/>
              <w:rPr>
                <w:sz w:val="24"/>
                <w:szCs w:val="24"/>
              </w:rPr>
            </w:pPr>
            <w:r w:rsidRPr="00C04745">
              <w:rPr>
                <w:b/>
                <w:sz w:val="24"/>
                <w:szCs w:val="24"/>
              </w:rPr>
              <w:t>Dzīvokļa īpašums Aleksandra Grīna bulvārī 13 – 31</w:t>
            </w:r>
            <w:r w:rsidR="000E48F7" w:rsidRPr="00C04745">
              <w:rPr>
                <w:b/>
                <w:sz w:val="24"/>
                <w:szCs w:val="24"/>
              </w:rPr>
              <w:t xml:space="preserve">, </w:t>
            </w:r>
            <w:r w:rsidRPr="00C04745">
              <w:rPr>
                <w:sz w:val="24"/>
                <w:szCs w:val="24"/>
              </w:rPr>
              <w:t>(turpmāk – dzīvoklis Grīna bulvārī)</w:t>
            </w:r>
          </w:p>
          <w:p w14:paraId="497A1E91" w14:textId="07B91983" w:rsidR="006355DE" w:rsidRPr="00030D93" w:rsidRDefault="006355DE" w:rsidP="006355DE">
            <w:pPr>
              <w:pStyle w:val="BodyText"/>
              <w:tabs>
                <w:tab w:val="left" w:pos="850"/>
              </w:tabs>
              <w:spacing w:after="0"/>
              <w:rPr>
                <w:sz w:val="24"/>
                <w:szCs w:val="24"/>
              </w:rPr>
            </w:pPr>
            <w:r w:rsidRPr="00030D93">
              <w:rPr>
                <w:sz w:val="24"/>
                <w:szCs w:val="24"/>
              </w:rPr>
              <w:t xml:space="preserve">Kriminālprocesa Nr.11517023416 ietvaros Rīgas pilsētas Vidzemes priekšpilsētas tiesa ar 2018.gada 4.decembra lēmumu </w:t>
            </w:r>
            <w:r w:rsidR="00E72BCB" w:rsidRPr="00030D93">
              <w:rPr>
                <w:sz w:val="24"/>
                <w:szCs w:val="24"/>
              </w:rPr>
              <w:t xml:space="preserve">konfiscē </w:t>
            </w:r>
            <w:r w:rsidRPr="00030D93">
              <w:rPr>
                <w:sz w:val="24"/>
                <w:szCs w:val="24"/>
              </w:rPr>
              <w:t>privātpersonai piederošo nekustamo īpašumu Aleksandra Grīna bulvārī 13 – 31, kadastra Nr. 0100 904 5942.  Saskaņā ar iepriekš minēto tiesas lēmumu nekustamais īpašums atbilstoši  Krimināllikuma 70.</w:t>
            </w:r>
            <w:r w:rsidRPr="00030D93">
              <w:rPr>
                <w:sz w:val="24"/>
                <w:szCs w:val="24"/>
                <w:vertAlign w:val="superscript"/>
              </w:rPr>
              <w:t>10</w:t>
            </w:r>
            <w:r w:rsidRPr="00030D93">
              <w:rPr>
                <w:sz w:val="24"/>
                <w:szCs w:val="24"/>
              </w:rPr>
              <w:t xml:space="preserve"> pantam ir atzīstams par valsts mantu un piekrīt valstij.</w:t>
            </w:r>
          </w:p>
          <w:p w14:paraId="0F02D153" w14:textId="479F695C" w:rsidR="00A5358A" w:rsidRPr="00030D93" w:rsidRDefault="00A5358A" w:rsidP="006355DE">
            <w:pPr>
              <w:pStyle w:val="BodyText"/>
              <w:tabs>
                <w:tab w:val="left" w:pos="850"/>
              </w:tabs>
              <w:spacing w:after="0"/>
              <w:rPr>
                <w:sz w:val="24"/>
                <w:szCs w:val="24"/>
              </w:rPr>
            </w:pPr>
            <w:r w:rsidRPr="00030D93">
              <w:rPr>
                <w:sz w:val="24"/>
                <w:szCs w:val="24"/>
              </w:rPr>
              <w:t xml:space="preserve">Dzīvokļa īpašums </w:t>
            </w:r>
            <w:proofErr w:type="spellStart"/>
            <w:r w:rsidRPr="00030D93">
              <w:rPr>
                <w:sz w:val="24"/>
                <w:szCs w:val="24"/>
              </w:rPr>
              <w:t>A.Grīna</w:t>
            </w:r>
            <w:proofErr w:type="spellEnd"/>
            <w:r w:rsidRPr="00030D93">
              <w:rPr>
                <w:sz w:val="24"/>
                <w:szCs w:val="24"/>
              </w:rPr>
              <w:t xml:space="preserve"> bulvārī 13-31 (kadastra Nr. 0100 904 5942) sastāv no telpu grupas ar kadastra apzīmējumu 0100 058 2011 001 031 un </w:t>
            </w:r>
            <w:r w:rsidR="00BF40DD" w:rsidRPr="00030D93">
              <w:rPr>
                <w:sz w:val="24"/>
                <w:szCs w:val="24"/>
              </w:rPr>
              <w:t>466</w:t>
            </w:r>
            <w:r w:rsidRPr="00030D93">
              <w:rPr>
                <w:sz w:val="24"/>
                <w:szCs w:val="24"/>
              </w:rPr>
              <w:t xml:space="preserve">/19484 kopīpašuma domājamām daļām no daudzdzīvokļu ēkas ar kadastra apzīmējumu 0100 058 2011 001. </w:t>
            </w:r>
          </w:p>
          <w:p w14:paraId="369415D1" w14:textId="4F4B1868" w:rsidR="007C5812" w:rsidRPr="00030D93" w:rsidRDefault="007C5812" w:rsidP="006355DE">
            <w:pPr>
              <w:pStyle w:val="BodyText"/>
              <w:tabs>
                <w:tab w:val="left" w:pos="850"/>
              </w:tabs>
              <w:spacing w:after="0"/>
              <w:rPr>
                <w:sz w:val="24"/>
                <w:szCs w:val="24"/>
              </w:rPr>
            </w:pPr>
            <w:r w:rsidRPr="00030D93">
              <w:rPr>
                <w:sz w:val="24"/>
                <w:szCs w:val="24"/>
              </w:rPr>
              <w:t>Dzīvoklis Grīna bulvārī ir ierakstīts Rīgas pilsētas zemesgrāmatas nodalījumā Nr. 18885-31</w:t>
            </w:r>
          </w:p>
          <w:p w14:paraId="1F755347" w14:textId="58A64CD6" w:rsidR="00812FE0" w:rsidRPr="00030D93" w:rsidRDefault="00A5358A" w:rsidP="006355DE">
            <w:pPr>
              <w:pStyle w:val="BodyText"/>
              <w:tabs>
                <w:tab w:val="left" w:pos="850"/>
              </w:tabs>
              <w:spacing w:after="0"/>
              <w:rPr>
                <w:sz w:val="24"/>
                <w:szCs w:val="24"/>
              </w:rPr>
            </w:pPr>
            <w:r w:rsidRPr="00030D93">
              <w:rPr>
                <w:sz w:val="24"/>
                <w:szCs w:val="24"/>
              </w:rPr>
              <w:t xml:space="preserve">Atbilstoši Nekustamā īpašuma valsts kadastra sistēmā reģistrētiem datiem, daudzdzīvokļu ēkas ar kadastra apzīmējumu 0100 058 2011 001 daļa atrodas uz fizisku personu kopīpašumā esošas zemes vienības ar kadastra apzīmējumu 0100 058 0088, kas </w:t>
            </w:r>
            <w:r w:rsidR="00812FE0" w:rsidRPr="00030D93">
              <w:rPr>
                <w:sz w:val="24"/>
                <w:szCs w:val="24"/>
              </w:rPr>
              <w:t>ir ierakstīta Rīgas pilsētas zemesgrāmatas nodalījumā Nr.</w:t>
            </w:r>
            <w:r w:rsidR="00812FE0" w:rsidRPr="00030D93">
              <w:t xml:space="preserve"> </w:t>
            </w:r>
            <w:r w:rsidR="00812FE0" w:rsidRPr="00030D93">
              <w:rPr>
                <w:sz w:val="24"/>
                <w:szCs w:val="24"/>
              </w:rPr>
              <w:t xml:space="preserve">100000110386. Ņemot vērā, ka dzīvojamā māja </w:t>
            </w:r>
            <w:r w:rsidRPr="00030D93">
              <w:rPr>
                <w:sz w:val="24"/>
                <w:szCs w:val="24"/>
              </w:rPr>
              <w:t xml:space="preserve">daļēji </w:t>
            </w:r>
            <w:r w:rsidR="00812FE0" w:rsidRPr="00030D93">
              <w:rPr>
                <w:sz w:val="24"/>
                <w:szCs w:val="24"/>
              </w:rPr>
              <w:t>atrodas uz pr</w:t>
            </w:r>
            <w:r w:rsidRPr="00030D93">
              <w:rPr>
                <w:sz w:val="24"/>
                <w:szCs w:val="24"/>
              </w:rPr>
              <w:t>ivātpersonām</w:t>
            </w:r>
            <w:r w:rsidR="00812FE0" w:rsidRPr="00030D93">
              <w:rPr>
                <w:sz w:val="24"/>
                <w:szCs w:val="24"/>
              </w:rPr>
              <w:t xml:space="preserve"> īpašumā esošas zemes, tad </w:t>
            </w:r>
            <w:r w:rsidR="00BF40DD" w:rsidRPr="00030D93">
              <w:rPr>
                <w:sz w:val="24"/>
                <w:szCs w:val="24"/>
              </w:rPr>
              <w:lastRenderedPageBreak/>
              <w:t xml:space="preserve">Rīgas pilsētas </w:t>
            </w:r>
            <w:r w:rsidR="00812FE0" w:rsidRPr="00030D93">
              <w:rPr>
                <w:sz w:val="24"/>
                <w:szCs w:val="24"/>
              </w:rPr>
              <w:t>pašvaldībai pārņemot dzīvokli būs pienākums maksāt piespiedu zemes nomas maksu.</w:t>
            </w:r>
          </w:p>
          <w:p w14:paraId="268AC2EC" w14:textId="402792DA" w:rsidR="006355DE" w:rsidRPr="00C04745" w:rsidRDefault="006355DE" w:rsidP="006355DE">
            <w:pPr>
              <w:pStyle w:val="BodyText"/>
              <w:tabs>
                <w:tab w:val="left" w:pos="850"/>
              </w:tabs>
              <w:spacing w:after="0"/>
              <w:rPr>
                <w:sz w:val="24"/>
                <w:szCs w:val="24"/>
              </w:rPr>
            </w:pPr>
            <w:r w:rsidRPr="00C04745">
              <w:rPr>
                <w:sz w:val="24"/>
                <w:szCs w:val="24"/>
              </w:rPr>
              <w:t xml:space="preserve">Valsts ieņēmumu dienests ar 2019. gada 15. maijā valstij piekritīgās mantas pieņemšanas un nodošanas aktu Nr. 021120 pieņēma valsts uzskaitē par noziedzīgi iegūto mantu atzīto dzīvokli Grīna bulvārī. </w:t>
            </w:r>
          </w:p>
          <w:p w14:paraId="34649D1E" w14:textId="7D8A308A" w:rsidR="006355DE" w:rsidRPr="00C04745" w:rsidRDefault="006355DE" w:rsidP="006355DE">
            <w:pPr>
              <w:pStyle w:val="BodyText"/>
              <w:tabs>
                <w:tab w:val="left" w:pos="850"/>
              </w:tabs>
              <w:spacing w:after="0"/>
              <w:rPr>
                <w:sz w:val="24"/>
                <w:szCs w:val="24"/>
              </w:rPr>
            </w:pPr>
            <w:r w:rsidRPr="00C04745">
              <w:rPr>
                <w:sz w:val="24"/>
                <w:szCs w:val="24"/>
              </w:rPr>
              <w:t xml:space="preserve">Valsts ieņēmumu dienests, kas pieņēma valstij piekritīgo mantu saskaņā </w:t>
            </w:r>
            <w:r w:rsidR="00BF40DD" w:rsidRPr="00C04745">
              <w:rPr>
                <w:sz w:val="24"/>
                <w:szCs w:val="24"/>
              </w:rPr>
              <w:t xml:space="preserve">ar Ministru kabineta 2013.gada 26.novembra noteikumu Nr.1354 “Kārtība, kādā veicama valstij piekritīgās mantas uzskaite, novērtēšana, realizācija, nodošana bez maksas, iznīcināšana, un realizācijas ieņēmumu ieskaitīšana valsts budžetā” (turpmāk - </w:t>
            </w:r>
            <w:r w:rsidR="00E121D9" w:rsidRPr="00C04745">
              <w:rPr>
                <w:sz w:val="24"/>
                <w:szCs w:val="24"/>
              </w:rPr>
              <w:t>N</w:t>
            </w:r>
            <w:r w:rsidRPr="00C04745">
              <w:rPr>
                <w:sz w:val="24"/>
                <w:szCs w:val="24"/>
              </w:rPr>
              <w:t>oteikum</w:t>
            </w:r>
            <w:r w:rsidR="00BF40DD" w:rsidRPr="00C04745">
              <w:rPr>
                <w:sz w:val="24"/>
                <w:szCs w:val="24"/>
              </w:rPr>
              <w:t>i</w:t>
            </w:r>
            <w:r w:rsidRPr="00C04745">
              <w:rPr>
                <w:sz w:val="24"/>
                <w:szCs w:val="24"/>
              </w:rPr>
              <w:t xml:space="preserve"> Nr.</w:t>
            </w:r>
            <w:r w:rsidR="00BF40DD" w:rsidRPr="00C04745">
              <w:rPr>
                <w:sz w:val="24"/>
                <w:szCs w:val="24"/>
              </w:rPr>
              <w:t> </w:t>
            </w:r>
            <w:r w:rsidRPr="00C04745">
              <w:rPr>
                <w:sz w:val="24"/>
                <w:szCs w:val="24"/>
              </w:rPr>
              <w:t>1354</w:t>
            </w:r>
            <w:r w:rsidR="00BF40DD" w:rsidRPr="00C04745">
              <w:rPr>
                <w:sz w:val="24"/>
                <w:szCs w:val="24"/>
              </w:rPr>
              <w:t>)</w:t>
            </w:r>
            <w:r w:rsidRPr="00C04745">
              <w:rPr>
                <w:sz w:val="24"/>
                <w:szCs w:val="24"/>
              </w:rPr>
              <w:t xml:space="preserve"> 7. punktu, ir atbildīgs par mantas </w:t>
            </w:r>
            <w:proofErr w:type="spellStart"/>
            <w:r w:rsidRPr="00C04745">
              <w:rPr>
                <w:sz w:val="24"/>
                <w:szCs w:val="24"/>
              </w:rPr>
              <w:t>neskartību</w:t>
            </w:r>
            <w:proofErr w:type="spellEnd"/>
            <w:r w:rsidRPr="00C04745">
              <w:rPr>
                <w:sz w:val="24"/>
                <w:szCs w:val="24"/>
              </w:rPr>
              <w:t xml:space="preserve"> un saglabāšanu no tās pieņemšanas brīža līdz nodošanai realizācijai, nodošanai bez maksas vai iznīcināšanai.</w:t>
            </w:r>
          </w:p>
          <w:p w14:paraId="12EC6962" w14:textId="77777777" w:rsidR="006355DE" w:rsidRPr="00C04745" w:rsidRDefault="006355DE" w:rsidP="006355DE">
            <w:pPr>
              <w:pStyle w:val="BodyText"/>
              <w:tabs>
                <w:tab w:val="left" w:pos="850"/>
              </w:tabs>
              <w:spacing w:after="0"/>
              <w:rPr>
                <w:sz w:val="24"/>
                <w:szCs w:val="24"/>
              </w:rPr>
            </w:pPr>
            <w:r w:rsidRPr="00C04745">
              <w:rPr>
                <w:sz w:val="24"/>
                <w:szCs w:val="24"/>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4F6D2174" w14:textId="00B4D7F4" w:rsidR="00174E00" w:rsidRPr="00C04745" w:rsidRDefault="006355DE" w:rsidP="006355DE">
            <w:pPr>
              <w:pStyle w:val="BodyText"/>
              <w:tabs>
                <w:tab w:val="left" w:pos="850"/>
              </w:tabs>
              <w:spacing w:after="0"/>
              <w:rPr>
                <w:sz w:val="24"/>
                <w:szCs w:val="24"/>
              </w:rPr>
            </w:pPr>
            <w:r w:rsidRPr="00C04745">
              <w:rPr>
                <w:sz w:val="24"/>
                <w:szCs w:val="24"/>
              </w:rPr>
              <w:t>Rīgas pilsēta dome 2019. gada 10.jūlijā pieņēma Nr.2456 (prot. Nr.58, 81.§) “Par Latvijas valstij piekrītošā dzīvokļa īpašuma Aleksandra Grīna bulvārī 13–31, Rīgā (kadastra Nr.01009045942), pārņemšanu Rīgas pilsētas pašvaldības īpašumā bez atlīdzības”, lai pārņemtu dzīvokļa īpašumu un izmantotu to atbilstoši likumā „Par pašvaldībām” 15. panta pirmās daļas 9. punktā noteikto - palīdzības sniegšanai iedzīvotājiem dzīvokļa jautājuma risināšanai.</w:t>
            </w:r>
          </w:p>
          <w:p w14:paraId="6380867F" w14:textId="1078C071" w:rsidR="00B4371D" w:rsidRPr="00C04745" w:rsidRDefault="00B4371D" w:rsidP="00B4371D">
            <w:pPr>
              <w:pStyle w:val="BodyText"/>
              <w:tabs>
                <w:tab w:val="left" w:pos="850"/>
              </w:tabs>
              <w:spacing w:after="0"/>
              <w:rPr>
                <w:sz w:val="24"/>
                <w:szCs w:val="24"/>
              </w:rPr>
            </w:pPr>
            <w:r w:rsidRPr="00C04745">
              <w:rPr>
                <w:sz w:val="24"/>
                <w:szCs w:val="24"/>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54B49957" w14:textId="77777777" w:rsidR="00B4371D" w:rsidRPr="00C04745" w:rsidRDefault="00B4371D" w:rsidP="00B4371D">
            <w:pPr>
              <w:pStyle w:val="BodyText"/>
              <w:tabs>
                <w:tab w:val="left" w:pos="850"/>
              </w:tabs>
              <w:spacing w:after="0"/>
              <w:rPr>
                <w:sz w:val="24"/>
                <w:szCs w:val="24"/>
              </w:rPr>
            </w:pPr>
            <w:r w:rsidRPr="00C04745">
              <w:rPr>
                <w:sz w:val="24"/>
                <w:szCs w:val="24"/>
              </w:rPr>
              <w:lastRenderedPageBreak/>
              <w:t>Rīkojuma projekts paredz Rīgas pilsētas pašvaldībai, pamatojoties uz Atsavināšanas likuma 42. panta pirmo daļu, nekustamo īpašumu izmantot pašvaldības autonomo funkciju īstenošanai – palīdzības sniegšanai iedzīvotājiem dzīvokļa jautājuma risināšanai.</w:t>
            </w:r>
          </w:p>
          <w:p w14:paraId="2F6B8B54" w14:textId="77777777" w:rsidR="00B4371D" w:rsidRPr="00C04745" w:rsidRDefault="00B4371D" w:rsidP="00B4371D">
            <w:pPr>
              <w:pStyle w:val="BodyText"/>
              <w:tabs>
                <w:tab w:val="left" w:pos="850"/>
              </w:tabs>
              <w:spacing w:after="0"/>
              <w:rPr>
                <w:sz w:val="24"/>
                <w:szCs w:val="24"/>
              </w:rPr>
            </w:pPr>
            <w:r w:rsidRPr="00C04745">
              <w:rPr>
                <w:sz w:val="24"/>
                <w:szCs w:val="24"/>
              </w:rPr>
              <w:t xml:space="preserve">Saskaņā ar Atsavināšanas likuma 2. pantā noteikto, Atsavināšanas likums regulē publiskas personas mantas atsavināšanas kārtību. </w:t>
            </w:r>
          </w:p>
          <w:p w14:paraId="4BCCDE7F" w14:textId="77777777" w:rsidR="00B4371D" w:rsidRPr="00C04745" w:rsidRDefault="00B4371D" w:rsidP="00B4371D">
            <w:pPr>
              <w:pStyle w:val="BodyText"/>
              <w:tabs>
                <w:tab w:val="left" w:pos="850"/>
              </w:tabs>
              <w:spacing w:after="0"/>
              <w:rPr>
                <w:sz w:val="24"/>
                <w:szCs w:val="24"/>
              </w:rPr>
            </w:pPr>
            <w:r w:rsidRPr="00C04745">
              <w:rPr>
                <w:sz w:val="24"/>
                <w:szCs w:val="24"/>
              </w:rPr>
              <w:t>Saskaņā ar Atsavināšanas likuma 42. panta pirmo daļu, ja nekustamais īpašums vairs netiek izmantots pašvaldības autonomo funkciju īstenošanai, pašvaldība šo nekustamo īpašumu bez atlīdzības nodod valstij.</w:t>
            </w:r>
          </w:p>
          <w:p w14:paraId="0D8084D5" w14:textId="77777777" w:rsidR="00B4371D" w:rsidRPr="00C04745" w:rsidRDefault="00B4371D" w:rsidP="00B4371D">
            <w:pPr>
              <w:pStyle w:val="BodyText"/>
              <w:tabs>
                <w:tab w:val="left" w:pos="850"/>
              </w:tabs>
              <w:spacing w:after="0"/>
              <w:rPr>
                <w:sz w:val="24"/>
                <w:szCs w:val="24"/>
              </w:rPr>
            </w:pPr>
            <w:r w:rsidRPr="00C04745">
              <w:rPr>
                <w:sz w:val="24"/>
                <w:szCs w:val="24"/>
              </w:rPr>
              <w:t>Atsavināšanas likuma 42</w:t>
            </w:r>
            <w:r w:rsidRPr="00C04745">
              <w:rPr>
                <w:sz w:val="24"/>
                <w:szCs w:val="24"/>
                <w:vertAlign w:val="superscript"/>
              </w:rPr>
              <w:t>1</w:t>
            </w:r>
            <w:r w:rsidRPr="00C04745">
              <w:rPr>
                <w:sz w:val="24"/>
                <w:szCs w:val="24"/>
              </w:rPr>
              <w:t>.panta pirmā daļa nosaka,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121B82C2" w14:textId="05FAD9B8" w:rsidR="00B4371D" w:rsidRPr="00C04745" w:rsidRDefault="00B4371D" w:rsidP="003F793C">
            <w:pPr>
              <w:pStyle w:val="BodyText"/>
              <w:tabs>
                <w:tab w:val="left" w:pos="850"/>
              </w:tabs>
              <w:spacing w:after="0"/>
              <w:rPr>
                <w:sz w:val="24"/>
                <w:szCs w:val="24"/>
              </w:rPr>
            </w:pPr>
            <w:r w:rsidRPr="00C04745">
              <w:rPr>
                <w:sz w:val="24"/>
                <w:szCs w:val="24"/>
              </w:rPr>
              <w:t>Noteikumu Nr. 1354 32.4. apakšpunkts nosaka, ka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w:t>
            </w:r>
            <w:r w:rsidR="003F793C" w:rsidRPr="00C04745">
              <w:rPr>
                <w:sz w:val="24"/>
                <w:szCs w:val="24"/>
              </w:rPr>
              <w:t>s uz Ministru kabineta rīkojumu.</w:t>
            </w:r>
          </w:p>
          <w:p w14:paraId="44740AF8" w14:textId="48370474" w:rsidR="00B4371D" w:rsidRPr="00C04745" w:rsidRDefault="00B4371D" w:rsidP="00B4371D">
            <w:pPr>
              <w:pStyle w:val="BodyText"/>
              <w:tabs>
                <w:tab w:val="left" w:pos="850"/>
              </w:tabs>
              <w:spacing w:after="0"/>
              <w:rPr>
                <w:sz w:val="24"/>
                <w:szCs w:val="24"/>
              </w:rPr>
            </w:pPr>
            <w:r w:rsidRPr="00C04745">
              <w:rPr>
                <w:sz w:val="24"/>
                <w:szCs w:val="24"/>
              </w:rPr>
              <w:t>N</w:t>
            </w:r>
            <w:r w:rsidR="002E08D4">
              <w:rPr>
                <w:sz w:val="24"/>
                <w:szCs w:val="24"/>
              </w:rPr>
              <w:t>ekustamais īpašums</w:t>
            </w:r>
            <w:r w:rsidR="00007E30" w:rsidRPr="00C04745">
              <w:rPr>
                <w:sz w:val="24"/>
                <w:szCs w:val="24"/>
              </w:rPr>
              <w:t xml:space="preserve"> tiek ierakstīti</w:t>
            </w:r>
            <w:r w:rsidRPr="00C04745">
              <w:rPr>
                <w:sz w:val="24"/>
                <w:szCs w:val="24"/>
              </w:rPr>
              <w:t xml:space="preserve"> zemesgrāmatā uz valsts vārda </w:t>
            </w:r>
            <w:r w:rsidR="00007E30" w:rsidRPr="00C04745">
              <w:rPr>
                <w:sz w:val="24"/>
                <w:szCs w:val="24"/>
              </w:rPr>
              <w:t xml:space="preserve">Vides </w:t>
            </w:r>
            <w:proofErr w:type="spellStart"/>
            <w:r w:rsidR="00007E30" w:rsidRPr="00C04745">
              <w:rPr>
                <w:sz w:val="24"/>
                <w:szCs w:val="24"/>
              </w:rPr>
              <w:t>aizsradzības</w:t>
            </w:r>
            <w:proofErr w:type="spellEnd"/>
            <w:r w:rsidR="00007E30" w:rsidRPr="00C04745">
              <w:rPr>
                <w:sz w:val="24"/>
                <w:szCs w:val="24"/>
              </w:rPr>
              <w:t xml:space="preserve"> un reģionālās attīstības</w:t>
            </w:r>
            <w:r w:rsidRPr="00C04745">
              <w:rPr>
                <w:sz w:val="24"/>
                <w:szCs w:val="24"/>
              </w:rPr>
              <w:t xml:space="preserve"> ministrijas personā vienlaikus ar Rīgas pilsētas pašvaldības īpašuma tiesību nostiprināšanu. </w:t>
            </w:r>
            <w:r w:rsidR="00007E30" w:rsidRPr="00C04745">
              <w:rPr>
                <w:sz w:val="24"/>
                <w:szCs w:val="24"/>
              </w:rPr>
              <w:t>Rīkojuma projekta 3.punkts</w:t>
            </w:r>
            <w:r w:rsidR="006802F5" w:rsidRPr="00C04745">
              <w:rPr>
                <w:sz w:val="24"/>
                <w:szCs w:val="24"/>
              </w:rPr>
              <w:t xml:space="preserve"> paredz</w:t>
            </w:r>
            <w:r w:rsidR="006802F5" w:rsidRPr="00C04745">
              <w:rPr>
                <w:sz w:val="24"/>
                <w:szCs w:val="24"/>
                <w:shd w:val="clear" w:color="auto" w:fill="FFFFFF"/>
              </w:rPr>
              <w:t xml:space="preserve"> pilnvarot </w:t>
            </w:r>
            <w:r w:rsidR="006802F5" w:rsidRPr="00C04745">
              <w:rPr>
                <w:sz w:val="24"/>
                <w:szCs w:val="24"/>
              </w:rPr>
              <w:t xml:space="preserve">Rīgas pilsētas pašvaldību </w:t>
            </w:r>
            <w:r w:rsidR="00A5358A" w:rsidRPr="00C04745">
              <w:rPr>
                <w:sz w:val="24"/>
                <w:szCs w:val="24"/>
                <w:shd w:val="clear" w:color="auto" w:fill="FFFFFF"/>
              </w:rPr>
              <w:t>parakstīt nostiprinājuma lūgumu</w:t>
            </w:r>
            <w:r w:rsidR="006802F5" w:rsidRPr="00C04745">
              <w:rPr>
                <w:sz w:val="24"/>
                <w:szCs w:val="24"/>
                <w:shd w:val="clear" w:color="auto" w:fill="FFFFFF"/>
              </w:rPr>
              <w:t xml:space="preserve"> īpašuma tiesību nostiprināšanai uz </w:t>
            </w:r>
            <w:r w:rsidR="006802F5" w:rsidRPr="00C04745">
              <w:rPr>
                <w:sz w:val="24"/>
                <w:szCs w:val="24"/>
              </w:rPr>
              <w:t>valsts vārda</w:t>
            </w:r>
            <w:r w:rsidR="00007E30" w:rsidRPr="00C04745">
              <w:rPr>
                <w:sz w:val="24"/>
                <w:szCs w:val="24"/>
              </w:rPr>
              <w:t>, kā arī tai jānodrošina zemesgrāmatu nodalījumu  II sadaļas 2.iedaļās ierakstīto atzīmju dzēšana.</w:t>
            </w:r>
            <w:r w:rsidR="006802F5" w:rsidRPr="00C04745">
              <w:rPr>
                <w:sz w:val="24"/>
                <w:szCs w:val="24"/>
              </w:rPr>
              <w:t xml:space="preserve"> </w:t>
            </w:r>
          </w:p>
          <w:p w14:paraId="5732E26A" w14:textId="4BD7AE47" w:rsidR="00925BA7" w:rsidRPr="00C04745" w:rsidRDefault="00B4371D" w:rsidP="00007E30">
            <w:pPr>
              <w:pStyle w:val="BodyText"/>
              <w:tabs>
                <w:tab w:val="left" w:pos="814"/>
              </w:tabs>
              <w:spacing w:before="0" w:after="0"/>
              <w:rPr>
                <w:sz w:val="24"/>
                <w:szCs w:val="24"/>
              </w:rPr>
            </w:pPr>
            <w:r w:rsidRPr="00C04745">
              <w:rPr>
                <w:sz w:val="24"/>
                <w:szCs w:val="24"/>
              </w:rPr>
              <w:t xml:space="preserve">Rīgas pilsētas 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w:t>
            </w:r>
            <w:r w:rsidRPr="00C04745">
              <w:rPr>
                <w:sz w:val="24"/>
                <w:szCs w:val="24"/>
              </w:rPr>
              <w:lastRenderedPageBreak/>
              <w:t>personā), lai saņemtu Eiropas Savienības fondu atbalstu.</w:t>
            </w:r>
            <w:r w:rsidR="006802F5" w:rsidRPr="00C04745">
              <w:rPr>
                <w:sz w:val="24"/>
                <w:szCs w:val="24"/>
              </w:rPr>
              <w:t xml:space="preserve"> </w:t>
            </w:r>
          </w:p>
        </w:tc>
      </w:tr>
      <w:tr w:rsidR="00C04745" w:rsidRPr="00C04745" w14:paraId="27A6D313"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D86AA8"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3.</w:t>
            </w:r>
          </w:p>
        </w:tc>
        <w:tc>
          <w:tcPr>
            <w:tcW w:w="1695" w:type="pct"/>
            <w:tcBorders>
              <w:top w:val="outset" w:sz="6" w:space="0" w:color="auto"/>
              <w:left w:val="outset" w:sz="6" w:space="0" w:color="auto"/>
              <w:bottom w:val="outset" w:sz="6" w:space="0" w:color="auto"/>
              <w:right w:val="outset" w:sz="6" w:space="0" w:color="auto"/>
            </w:tcBorders>
            <w:hideMark/>
          </w:tcPr>
          <w:p w14:paraId="5280A9B0"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2CFAAC0A" w14:textId="1E9FB068" w:rsidR="00083640" w:rsidRPr="00C04745" w:rsidRDefault="00B4371D" w:rsidP="001A0532">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Vides aizsardzības un reģionālās attīstības ministrija, Rīgas pilsētas pašvaldība</w:t>
            </w:r>
          </w:p>
        </w:tc>
      </w:tr>
      <w:tr w:rsidR="00C04745" w:rsidRPr="00C04745" w14:paraId="0EF159AE" w14:textId="77777777" w:rsidTr="00F30A3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C58C4"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4.</w:t>
            </w:r>
          </w:p>
        </w:tc>
        <w:tc>
          <w:tcPr>
            <w:tcW w:w="1695" w:type="pct"/>
            <w:tcBorders>
              <w:top w:val="outset" w:sz="6" w:space="0" w:color="auto"/>
              <w:left w:val="outset" w:sz="6" w:space="0" w:color="auto"/>
              <w:bottom w:val="outset" w:sz="6" w:space="0" w:color="auto"/>
              <w:right w:val="outset" w:sz="6" w:space="0" w:color="auto"/>
            </w:tcBorders>
            <w:hideMark/>
          </w:tcPr>
          <w:p w14:paraId="7CE64160" w14:textId="77777777" w:rsidR="00083640"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2866E87A" w14:textId="651C5C00" w:rsidR="00083640" w:rsidRPr="00C04745" w:rsidRDefault="00007E30" w:rsidP="00007E30">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p w14:paraId="09D52C1F" w14:textId="0FDB9640" w:rsidR="00D7406A" w:rsidRPr="00C04745" w:rsidRDefault="00E5323B" w:rsidP="001A0532">
      <w:pPr>
        <w:spacing w:after="0" w:line="240" w:lineRule="auto"/>
        <w:rPr>
          <w:rFonts w:ascii="Times New Roman" w:hAnsi="Times New Roman" w:cs="Times New Roman"/>
          <w:sz w:val="28"/>
          <w:szCs w:val="28"/>
        </w:rPr>
      </w:pPr>
      <w:r w:rsidRPr="00C04745">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4745" w:rsidRPr="00C04745" w14:paraId="748963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0A69CB" w14:textId="77777777" w:rsidR="00655F2C" w:rsidRPr="00C04745" w:rsidRDefault="00E5323B" w:rsidP="001A0532">
            <w:pPr>
              <w:spacing w:after="0" w:line="240" w:lineRule="auto"/>
              <w:jc w:val="center"/>
              <w:rPr>
                <w:rFonts w:ascii="Times New Roman" w:hAnsi="Times New Roman" w:cs="Times New Roman"/>
                <w:b/>
                <w:sz w:val="24"/>
                <w:szCs w:val="24"/>
              </w:rPr>
            </w:pPr>
            <w:r w:rsidRPr="00C04745">
              <w:rPr>
                <w:rFonts w:ascii="Times New Roman" w:hAnsi="Times New Roman" w:cs="Times New Roman"/>
                <w:b/>
                <w:sz w:val="24"/>
                <w:szCs w:val="24"/>
              </w:rPr>
              <w:t>II. Tiesību akta projekta ietekme uz sabiedrību, tautsaimniecības attīstību un administratīvo slogu</w:t>
            </w:r>
          </w:p>
        </w:tc>
      </w:tr>
      <w:tr w:rsidR="00C04745" w:rsidRPr="00C04745" w14:paraId="516978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CDD98B"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51F946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8DAE6E" w14:textId="461AEFF7" w:rsidR="00E5323B" w:rsidRPr="00C04745" w:rsidRDefault="00B14D28" w:rsidP="00B4371D">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Rīkojuma projekts attiecināms uz</w:t>
            </w:r>
            <w:r w:rsidR="00E244C4" w:rsidRPr="00C04745">
              <w:rPr>
                <w:rFonts w:ascii="Times New Roman" w:hAnsi="Times New Roman" w:cs="Times New Roman"/>
                <w:sz w:val="24"/>
                <w:szCs w:val="24"/>
              </w:rPr>
              <w:t xml:space="preserve"> </w:t>
            </w:r>
            <w:r w:rsidR="00B4371D" w:rsidRPr="00C04745">
              <w:rPr>
                <w:rFonts w:ascii="Times New Roman" w:hAnsi="Times New Roman" w:cs="Times New Roman"/>
                <w:sz w:val="24"/>
                <w:szCs w:val="24"/>
              </w:rPr>
              <w:t>Rīgas pilsētas pašvaldību</w:t>
            </w:r>
            <w:r w:rsidRPr="00C04745">
              <w:rPr>
                <w:rFonts w:ascii="Times New Roman" w:hAnsi="Times New Roman" w:cs="Times New Roman"/>
                <w:sz w:val="24"/>
                <w:szCs w:val="24"/>
              </w:rPr>
              <w:t>, kā arī t</w:t>
            </w:r>
            <w:r w:rsidR="00B4371D" w:rsidRPr="00C04745">
              <w:rPr>
                <w:rFonts w:ascii="Times New Roman" w:hAnsi="Times New Roman" w:cs="Times New Roman"/>
                <w:sz w:val="24"/>
                <w:szCs w:val="24"/>
              </w:rPr>
              <w:t>ās</w:t>
            </w:r>
            <w:r w:rsidRPr="00C04745">
              <w:rPr>
                <w:rFonts w:ascii="Times New Roman" w:hAnsi="Times New Roman" w:cs="Times New Roman"/>
                <w:sz w:val="24"/>
                <w:szCs w:val="24"/>
              </w:rPr>
              <w:t xml:space="preserve"> administratīvajā teritorijā esošajiem iedzīvotājiem, kuriem nepieciešama palīdzība dzīvokļa jautājum</w:t>
            </w:r>
            <w:r w:rsidR="00C46FCA" w:rsidRPr="00C04745">
              <w:rPr>
                <w:rFonts w:ascii="Times New Roman" w:hAnsi="Times New Roman" w:cs="Times New Roman"/>
                <w:sz w:val="24"/>
                <w:szCs w:val="24"/>
              </w:rPr>
              <w:t>u</w:t>
            </w:r>
            <w:r w:rsidRPr="00C04745">
              <w:rPr>
                <w:rFonts w:ascii="Times New Roman" w:hAnsi="Times New Roman" w:cs="Times New Roman"/>
                <w:sz w:val="24"/>
                <w:szCs w:val="24"/>
              </w:rPr>
              <w:t xml:space="preserve"> risināšanā.</w:t>
            </w:r>
          </w:p>
        </w:tc>
      </w:tr>
      <w:tr w:rsidR="00C04745" w:rsidRPr="00C04745" w14:paraId="78C5DE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F6A82"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9E5F20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834A4A" w14:textId="77777777" w:rsidR="00E5323B"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Projekts šo jomu neskar.</w:t>
            </w:r>
          </w:p>
        </w:tc>
      </w:tr>
      <w:tr w:rsidR="00C04745" w:rsidRPr="00C04745" w14:paraId="0F0610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7FED"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34F976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70A210" w14:textId="77777777" w:rsidR="00E5323B"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Projekts šo jomu neskar.</w:t>
            </w:r>
          </w:p>
        </w:tc>
      </w:tr>
      <w:tr w:rsidR="00C04745" w:rsidRPr="00C04745" w14:paraId="605DA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B43D1D"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B99855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CFB33" w14:textId="77777777" w:rsidR="00E5323B"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Projekts šo jomu neskar.</w:t>
            </w:r>
          </w:p>
        </w:tc>
      </w:tr>
      <w:tr w:rsidR="00C04745" w:rsidRPr="00C04745" w14:paraId="5D56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7BFCA"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9B560C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4F900F" w14:textId="77777777" w:rsidR="00E5323B" w:rsidRPr="00C04745" w:rsidRDefault="00083640"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Nav</w:t>
            </w:r>
          </w:p>
        </w:tc>
      </w:tr>
    </w:tbl>
    <w:p w14:paraId="045157AA" w14:textId="071C35B1" w:rsidR="00D7406A" w:rsidRPr="00C04745" w:rsidRDefault="00E5323B" w:rsidP="001A0532">
      <w:pPr>
        <w:spacing w:after="0" w:line="240" w:lineRule="auto"/>
        <w:rPr>
          <w:rFonts w:ascii="Times New Roman" w:hAnsi="Times New Roman" w:cs="Times New Roman"/>
          <w:sz w:val="28"/>
          <w:szCs w:val="28"/>
        </w:rPr>
      </w:pPr>
      <w:r w:rsidRPr="00C04745">
        <w:rPr>
          <w:rFonts w:ascii="Times New Roman" w:hAnsi="Times New Roman" w:cs="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C04745" w:rsidRPr="00C04745" w14:paraId="7DD14A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F9CCF80" w14:textId="77777777" w:rsidR="00655F2C" w:rsidRPr="00C04745" w:rsidRDefault="00E5323B" w:rsidP="001A0532">
            <w:pPr>
              <w:spacing w:after="0" w:line="240" w:lineRule="auto"/>
              <w:jc w:val="center"/>
              <w:rPr>
                <w:rFonts w:ascii="Times New Roman" w:hAnsi="Times New Roman" w:cs="Times New Roman"/>
                <w:b/>
                <w:sz w:val="24"/>
                <w:szCs w:val="24"/>
              </w:rPr>
            </w:pPr>
            <w:r w:rsidRPr="00C04745">
              <w:rPr>
                <w:rFonts w:ascii="Times New Roman" w:hAnsi="Times New Roman" w:cs="Times New Roman"/>
                <w:b/>
                <w:sz w:val="24"/>
                <w:szCs w:val="24"/>
              </w:rPr>
              <w:t>III. Tiesību akta projekta ietekme uz valsts budžetu un pašvaldību budžetiem</w:t>
            </w:r>
          </w:p>
        </w:tc>
      </w:tr>
      <w:tr w:rsidR="00C04745" w:rsidRPr="00C04745" w14:paraId="04A192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61342F60"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A0A6898" w14:textId="2C950929" w:rsidR="00655F2C" w:rsidRPr="00C04745" w:rsidRDefault="00083640" w:rsidP="00007E30">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20</w:t>
            </w:r>
            <w:r w:rsidR="00CE476D" w:rsidRPr="00C04745">
              <w:rPr>
                <w:rFonts w:ascii="Times New Roman" w:hAnsi="Times New Roman" w:cs="Times New Roman"/>
                <w:sz w:val="24"/>
                <w:szCs w:val="24"/>
              </w:rPr>
              <w:t>2</w:t>
            </w:r>
            <w:r w:rsidR="00007E30" w:rsidRPr="00C04745">
              <w:rPr>
                <w:rFonts w:ascii="Times New Roman" w:hAnsi="Times New Roman" w:cs="Times New Roman"/>
                <w:sz w:val="24"/>
                <w:szCs w:val="24"/>
              </w:rPr>
              <w:t>1</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6C5B4637" w14:textId="77777777" w:rsidR="00655F2C" w:rsidRPr="00C04745" w:rsidRDefault="00E5323B"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Turpmākie trīs gadi (</w:t>
            </w:r>
            <w:proofErr w:type="spellStart"/>
            <w:r w:rsidRPr="00C04745">
              <w:rPr>
                <w:rFonts w:ascii="Times New Roman" w:hAnsi="Times New Roman" w:cs="Times New Roman"/>
                <w:sz w:val="24"/>
                <w:szCs w:val="24"/>
              </w:rPr>
              <w:t>euro</w:t>
            </w:r>
            <w:proofErr w:type="spellEnd"/>
            <w:r w:rsidRPr="00C04745">
              <w:rPr>
                <w:rFonts w:ascii="Times New Roman" w:hAnsi="Times New Roman" w:cs="Times New Roman"/>
                <w:sz w:val="24"/>
                <w:szCs w:val="24"/>
              </w:rPr>
              <w:t>)</w:t>
            </w:r>
          </w:p>
        </w:tc>
      </w:tr>
      <w:tr w:rsidR="00C04745" w:rsidRPr="00C04745" w14:paraId="5248964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74C591" w14:textId="77777777" w:rsidR="00E5323B" w:rsidRPr="00C04745" w:rsidRDefault="00E5323B" w:rsidP="001A0532">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BCC327B" w14:textId="77777777" w:rsidR="00E5323B" w:rsidRPr="00C04745" w:rsidRDefault="00E5323B" w:rsidP="001A0532">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3B95440" w14:textId="23ED7C72" w:rsidR="00655F2C" w:rsidRPr="00C04745" w:rsidRDefault="00083640" w:rsidP="00007E30">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20</w:t>
            </w:r>
            <w:r w:rsidR="00980C19" w:rsidRPr="00C04745">
              <w:rPr>
                <w:rFonts w:ascii="Times New Roman" w:hAnsi="Times New Roman" w:cs="Times New Roman"/>
                <w:sz w:val="24"/>
                <w:szCs w:val="24"/>
              </w:rPr>
              <w:t>2</w:t>
            </w:r>
            <w:r w:rsidR="00007E30" w:rsidRPr="00C04745">
              <w:rPr>
                <w:rFonts w:ascii="Times New Roman" w:hAnsi="Times New Roman" w:cs="Times New Roman"/>
                <w:sz w:val="24"/>
                <w:szCs w:val="24"/>
              </w:rPr>
              <w:t>2</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7E2049A" w14:textId="4BF0F49A" w:rsidR="00655F2C" w:rsidRPr="00C04745" w:rsidRDefault="00083640" w:rsidP="00007E30">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202</w:t>
            </w:r>
            <w:r w:rsidR="00007E30" w:rsidRPr="00C04745">
              <w:rPr>
                <w:rFonts w:ascii="Times New Roman" w:hAnsi="Times New Roman" w:cs="Times New Roman"/>
                <w:sz w:val="24"/>
                <w:szCs w:val="24"/>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D74A43" w14:textId="72CBA49E" w:rsidR="00655F2C" w:rsidRPr="00C04745" w:rsidRDefault="00083640" w:rsidP="00007E30">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202</w:t>
            </w:r>
            <w:r w:rsidR="00007E30" w:rsidRPr="00C04745">
              <w:rPr>
                <w:rFonts w:ascii="Times New Roman" w:hAnsi="Times New Roman" w:cs="Times New Roman"/>
                <w:sz w:val="24"/>
                <w:szCs w:val="24"/>
              </w:rPr>
              <w:t>4</w:t>
            </w:r>
          </w:p>
        </w:tc>
      </w:tr>
      <w:tr w:rsidR="00C04745" w:rsidRPr="00C04745" w14:paraId="6A26E877"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5BAD706" w14:textId="77777777" w:rsidR="00E5323B" w:rsidRPr="00C04745" w:rsidRDefault="00E5323B" w:rsidP="001A0532">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BD7CCDC"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DAD8EF"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C10777"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483460" w14:textId="77777777" w:rsidR="000F439F"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xml:space="preserve">izmaiņas, salīdzinot ar vidēja </w:t>
            </w:r>
            <w:r w:rsidR="000F439F" w:rsidRPr="00C04745">
              <w:rPr>
                <w:rFonts w:ascii="Times New Roman" w:hAnsi="Times New Roman" w:cs="Times New Roman"/>
                <w:sz w:val="24"/>
                <w:szCs w:val="24"/>
              </w:rPr>
              <w:t>termiņa budžeta ietvaru 20</w:t>
            </w:r>
            <w:r w:rsidR="00CE476D" w:rsidRPr="00C04745">
              <w:rPr>
                <w:rFonts w:ascii="Times New Roman" w:hAnsi="Times New Roman" w:cs="Times New Roman"/>
                <w:sz w:val="24"/>
                <w:szCs w:val="24"/>
              </w:rPr>
              <w:t>21</w:t>
            </w:r>
            <w:r w:rsidR="000F439F" w:rsidRPr="00C04745">
              <w:rPr>
                <w:rFonts w:ascii="Times New Roman" w:hAnsi="Times New Roman" w:cs="Times New Roman"/>
                <w:sz w:val="24"/>
                <w:szCs w:val="24"/>
              </w:rPr>
              <w:t>.</w:t>
            </w:r>
          </w:p>
          <w:p w14:paraId="3B0E200A"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7EFFF51"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29E8B" w14:textId="77777777" w:rsidR="000F439F"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izmaiņas, salīdzinot ar vid</w:t>
            </w:r>
            <w:r w:rsidR="000F439F" w:rsidRPr="00C04745">
              <w:rPr>
                <w:rFonts w:ascii="Times New Roman" w:hAnsi="Times New Roman" w:cs="Times New Roman"/>
                <w:sz w:val="24"/>
                <w:szCs w:val="24"/>
              </w:rPr>
              <w:t>ēja termiņa budžeta ietvaru 20</w:t>
            </w:r>
            <w:r w:rsidR="00CE476D" w:rsidRPr="00C04745">
              <w:rPr>
                <w:rFonts w:ascii="Times New Roman" w:hAnsi="Times New Roman" w:cs="Times New Roman"/>
                <w:sz w:val="24"/>
                <w:szCs w:val="24"/>
              </w:rPr>
              <w:t>22</w:t>
            </w:r>
            <w:r w:rsidR="000F439F" w:rsidRPr="00C04745">
              <w:rPr>
                <w:rFonts w:ascii="Times New Roman" w:hAnsi="Times New Roman" w:cs="Times New Roman"/>
                <w:sz w:val="24"/>
                <w:szCs w:val="24"/>
              </w:rPr>
              <w:t>.</w:t>
            </w:r>
          </w:p>
          <w:p w14:paraId="74290559"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BF12C7" w14:textId="77777777" w:rsidR="000F439F"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izmaiņas, salīdzinot ar vid</w:t>
            </w:r>
            <w:r w:rsidR="000F439F" w:rsidRPr="00C04745">
              <w:rPr>
                <w:rFonts w:ascii="Times New Roman" w:hAnsi="Times New Roman" w:cs="Times New Roman"/>
                <w:sz w:val="24"/>
                <w:szCs w:val="24"/>
              </w:rPr>
              <w:t>ēja termiņa budžeta ietvaru 20</w:t>
            </w:r>
            <w:r w:rsidR="004A0A8F" w:rsidRPr="00C04745">
              <w:rPr>
                <w:rFonts w:ascii="Times New Roman" w:hAnsi="Times New Roman" w:cs="Times New Roman"/>
                <w:sz w:val="24"/>
                <w:szCs w:val="24"/>
              </w:rPr>
              <w:t>2</w:t>
            </w:r>
            <w:r w:rsidR="00CE476D" w:rsidRPr="00C04745">
              <w:rPr>
                <w:rFonts w:ascii="Times New Roman" w:hAnsi="Times New Roman" w:cs="Times New Roman"/>
                <w:sz w:val="24"/>
                <w:szCs w:val="24"/>
              </w:rPr>
              <w:t>3</w:t>
            </w:r>
            <w:r w:rsidR="000F439F" w:rsidRPr="00C04745">
              <w:rPr>
                <w:rFonts w:ascii="Times New Roman" w:hAnsi="Times New Roman" w:cs="Times New Roman"/>
                <w:sz w:val="24"/>
                <w:szCs w:val="24"/>
              </w:rPr>
              <w:t>.</w:t>
            </w:r>
          </w:p>
          <w:p w14:paraId="1140486B"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gadam</w:t>
            </w:r>
          </w:p>
        </w:tc>
      </w:tr>
      <w:tr w:rsidR="00C04745" w:rsidRPr="00C04745" w14:paraId="35C8EA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71B114E3"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7B4BBE"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6215747D"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22CFA6"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851742"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D9ED82"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79665A"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58412B"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8</w:t>
            </w:r>
          </w:p>
        </w:tc>
      </w:tr>
      <w:tr w:rsidR="00C04745" w:rsidRPr="00C04745" w14:paraId="224AC75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7D8650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3A95A9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3046B61" w14:textId="55FFFC40" w:rsidR="00E5323B" w:rsidRPr="00C04745" w:rsidRDefault="00B62375"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B9847F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EE0B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CFE00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D1C5E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A12D1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43C3512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DDFC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A0E64E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540DD2F" w14:textId="630E912F" w:rsidR="00E5323B" w:rsidRPr="00C04745" w:rsidRDefault="00B62375"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723EE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E4BE7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6C008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95CE2F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7C89E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182BDA9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70C8CF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788FD7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D70328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4FCB7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3CC32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7C13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5BC27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740B35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30F71B7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56E3E4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1581F0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CAC4031" w14:textId="6D1F0908"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27650D"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C87F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D95D0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1F1D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369B7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206A2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2E4978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5782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2F1170" w14:textId="2F6CEED1"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BCC20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36CD6F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80B48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9B5CB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19E7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0297F4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6FC09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3B901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1356C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F633A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E28F35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40B869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36A3E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3B6B8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37B4AFA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86EFC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A9728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09BAFC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B3115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AD7C0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7C7D6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E29B5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6F810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16FB960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9C3343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B6212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23B256" w14:textId="7B7C3380"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27D51CD"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8070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F2846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CEAD6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DFFD0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6B8C37D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B6FD6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32546F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820620C" w14:textId="77777777" w:rsidR="00E5323B" w:rsidRPr="00C04745" w:rsidRDefault="000F439F"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5E4AE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6CC3B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89CC24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D6219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D38B1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0AB5259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47134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ABCC69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71B89AA" w14:textId="2A56D417" w:rsidR="00E5323B" w:rsidRPr="00C04745" w:rsidRDefault="00B62375"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67D0D6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792A8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61304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86906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5D98A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2BE3330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6FE83F"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2DA348"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DDFEA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7F7CD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485E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F244F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4D75B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AA35E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0693434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29E91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0DFE4C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57B24E" w14:textId="435F1BB5"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7602D4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B5FFE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27AF4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7B95D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9C7D"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18B1C1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88A26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CC332C"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D3F754" w14:textId="77777777" w:rsidR="00E5323B" w:rsidRPr="00C04745" w:rsidRDefault="000F439F"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C40AE9"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E36BBA" w14:textId="77777777" w:rsidR="00E5323B" w:rsidRPr="00C04745" w:rsidRDefault="000F439F"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A8ABAA"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CE849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C10A37"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5F8A10A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63314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665552A" w14:textId="77777777" w:rsidR="00CC0D2D" w:rsidRPr="00C04745" w:rsidRDefault="00CC0D2D" w:rsidP="001A0532">
            <w:pPr>
              <w:spacing w:after="0" w:line="240" w:lineRule="auto"/>
              <w:jc w:val="center"/>
              <w:rPr>
                <w:rFonts w:ascii="Times New Roman" w:hAnsi="Times New Roman" w:cs="Times New Roman"/>
                <w:sz w:val="24"/>
                <w:szCs w:val="24"/>
              </w:rPr>
            </w:pPr>
          </w:p>
          <w:p w14:paraId="08812246" w14:textId="77777777" w:rsidR="00CC0D2D" w:rsidRPr="00C04745" w:rsidRDefault="00CC0D2D" w:rsidP="001A0532">
            <w:pPr>
              <w:spacing w:after="0" w:line="240" w:lineRule="auto"/>
              <w:jc w:val="center"/>
              <w:rPr>
                <w:rFonts w:ascii="Times New Roman" w:hAnsi="Times New Roman" w:cs="Times New Roman"/>
                <w:sz w:val="24"/>
                <w:szCs w:val="24"/>
              </w:rPr>
            </w:pPr>
          </w:p>
          <w:p w14:paraId="5D0C8E20" w14:textId="77777777" w:rsidR="00CC0D2D" w:rsidRPr="00C04745" w:rsidRDefault="00CC0D2D" w:rsidP="001A0532">
            <w:pPr>
              <w:spacing w:after="0" w:line="240" w:lineRule="auto"/>
              <w:jc w:val="center"/>
              <w:rPr>
                <w:rFonts w:ascii="Times New Roman" w:hAnsi="Times New Roman" w:cs="Times New Roman"/>
                <w:sz w:val="24"/>
                <w:szCs w:val="24"/>
              </w:rPr>
            </w:pPr>
          </w:p>
          <w:p w14:paraId="45B55264" w14:textId="77777777" w:rsidR="00CC0D2D" w:rsidRPr="00C04745" w:rsidRDefault="00CC0D2D" w:rsidP="001A0532">
            <w:pPr>
              <w:spacing w:after="0" w:line="240" w:lineRule="auto"/>
              <w:jc w:val="center"/>
              <w:rPr>
                <w:rFonts w:ascii="Times New Roman" w:hAnsi="Times New Roman" w:cs="Times New Roman"/>
                <w:sz w:val="24"/>
                <w:szCs w:val="24"/>
              </w:rPr>
            </w:pPr>
          </w:p>
          <w:p w14:paraId="5826AE54" w14:textId="77777777" w:rsidR="00CC0D2D" w:rsidRPr="00C04745" w:rsidRDefault="00CC0D2D" w:rsidP="001A0532">
            <w:pPr>
              <w:spacing w:after="0" w:line="240" w:lineRule="auto"/>
              <w:jc w:val="center"/>
              <w:rPr>
                <w:rFonts w:ascii="Times New Roman" w:hAnsi="Times New Roman" w:cs="Times New Roman"/>
                <w:sz w:val="24"/>
                <w:szCs w:val="24"/>
              </w:rPr>
            </w:pPr>
          </w:p>
          <w:p w14:paraId="5EFAAAD9"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793AF8" w14:textId="151F44CB" w:rsidR="00E5323B" w:rsidRPr="00C04745" w:rsidRDefault="00B62375" w:rsidP="00B62375">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Nav precīzi aprēķināms</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32D82AC4" w14:textId="77777777" w:rsidR="00CC0D2D" w:rsidRPr="00C04745" w:rsidRDefault="00CC0D2D" w:rsidP="001A0532">
            <w:pPr>
              <w:spacing w:after="0" w:line="240" w:lineRule="auto"/>
              <w:jc w:val="center"/>
              <w:rPr>
                <w:rFonts w:ascii="Times New Roman" w:hAnsi="Times New Roman" w:cs="Times New Roman"/>
                <w:sz w:val="24"/>
                <w:szCs w:val="24"/>
              </w:rPr>
            </w:pPr>
          </w:p>
          <w:p w14:paraId="29ED5F8C" w14:textId="77777777" w:rsidR="00CC0D2D" w:rsidRPr="00C04745" w:rsidRDefault="00CC0D2D" w:rsidP="001A0532">
            <w:pPr>
              <w:spacing w:after="0" w:line="240" w:lineRule="auto"/>
              <w:jc w:val="center"/>
              <w:rPr>
                <w:rFonts w:ascii="Times New Roman" w:hAnsi="Times New Roman" w:cs="Times New Roman"/>
                <w:sz w:val="24"/>
                <w:szCs w:val="24"/>
              </w:rPr>
            </w:pPr>
          </w:p>
          <w:p w14:paraId="12773622" w14:textId="77777777" w:rsidR="00CC0D2D" w:rsidRPr="00C04745" w:rsidRDefault="00CC0D2D" w:rsidP="001A0532">
            <w:pPr>
              <w:spacing w:after="0" w:line="240" w:lineRule="auto"/>
              <w:jc w:val="center"/>
              <w:rPr>
                <w:rFonts w:ascii="Times New Roman" w:hAnsi="Times New Roman" w:cs="Times New Roman"/>
                <w:sz w:val="24"/>
                <w:szCs w:val="24"/>
              </w:rPr>
            </w:pPr>
          </w:p>
          <w:p w14:paraId="026479A4" w14:textId="77777777" w:rsidR="00CC0D2D" w:rsidRPr="00C04745" w:rsidRDefault="00CC0D2D" w:rsidP="001A0532">
            <w:pPr>
              <w:spacing w:after="0" w:line="240" w:lineRule="auto"/>
              <w:jc w:val="center"/>
              <w:rPr>
                <w:rFonts w:ascii="Times New Roman" w:hAnsi="Times New Roman" w:cs="Times New Roman"/>
                <w:sz w:val="24"/>
                <w:szCs w:val="24"/>
              </w:rPr>
            </w:pPr>
          </w:p>
          <w:p w14:paraId="639B4066" w14:textId="77777777" w:rsidR="00CC0D2D" w:rsidRPr="00C04745" w:rsidRDefault="00CC0D2D" w:rsidP="001A0532">
            <w:pPr>
              <w:spacing w:after="0" w:line="240" w:lineRule="auto"/>
              <w:jc w:val="center"/>
              <w:rPr>
                <w:rFonts w:ascii="Times New Roman" w:hAnsi="Times New Roman" w:cs="Times New Roman"/>
                <w:sz w:val="24"/>
                <w:szCs w:val="24"/>
              </w:rPr>
            </w:pPr>
          </w:p>
          <w:p w14:paraId="56026F42"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731E87" w14:textId="77777777" w:rsidR="00E5323B" w:rsidRPr="00C04745" w:rsidRDefault="000F439F"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lastRenderedPageBreak/>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66FBEE" w14:textId="77777777" w:rsidR="00CC0D2D" w:rsidRPr="00C04745" w:rsidRDefault="00CC0D2D" w:rsidP="001A0532">
            <w:pPr>
              <w:spacing w:after="0" w:line="240" w:lineRule="auto"/>
              <w:jc w:val="center"/>
              <w:rPr>
                <w:rFonts w:ascii="Times New Roman" w:hAnsi="Times New Roman" w:cs="Times New Roman"/>
                <w:sz w:val="24"/>
                <w:szCs w:val="24"/>
              </w:rPr>
            </w:pPr>
          </w:p>
          <w:p w14:paraId="7EDBBFF6" w14:textId="77777777" w:rsidR="00CC0D2D" w:rsidRPr="00C04745" w:rsidRDefault="00CC0D2D" w:rsidP="001A0532">
            <w:pPr>
              <w:spacing w:after="0" w:line="240" w:lineRule="auto"/>
              <w:jc w:val="center"/>
              <w:rPr>
                <w:rFonts w:ascii="Times New Roman" w:hAnsi="Times New Roman" w:cs="Times New Roman"/>
                <w:sz w:val="24"/>
                <w:szCs w:val="24"/>
              </w:rPr>
            </w:pPr>
          </w:p>
          <w:p w14:paraId="4F602CCA" w14:textId="77777777" w:rsidR="00CC0D2D" w:rsidRPr="00C04745" w:rsidRDefault="00CC0D2D" w:rsidP="001A0532">
            <w:pPr>
              <w:spacing w:after="0" w:line="240" w:lineRule="auto"/>
              <w:jc w:val="center"/>
              <w:rPr>
                <w:rFonts w:ascii="Times New Roman" w:hAnsi="Times New Roman" w:cs="Times New Roman"/>
                <w:sz w:val="24"/>
                <w:szCs w:val="24"/>
              </w:rPr>
            </w:pPr>
          </w:p>
          <w:p w14:paraId="37A314EE" w14:textId="77777777" w:rsidR="00CC0D2D" w:rsidRPr="00C04745" w:rsidRDefault="00CC0D2D" w:rsidP="001A0532">
            <w:pPr>
              <w:spacing w:after="0" w:line="240" w:lineRule="auto"/>
              <w:jc w:val="center"/>
              <w:rPr>
                <w:rFonts w:ascii="Times New Roman" w:hAnsi="Times New Roman" w:cs="Times New Roman"/>
                <w:sz w:val="24"/>
                <w:szCs w:val="24"/>
              </w:rPr>
            </w:pPr>
          </w:p>
          <w:p w14:paraId="0666B63F" w14:textId="77777777" w:rsidR="00CC0D2D" w:rsidRPr="00C04745" w:rsidRDefault="00CC0D2D" w:rsidP="001A0532">
            <w:pPr>
              <w:spacing w:after="0" w:line="240" w:lineRule="auto"/>
              <w:jc w:val="center"/>
              <w:rPr>
                <w:rFonts w:ascii="Times New Roman" w:hAnsi="Times New Roman" w:cs="Times New Roman"/>
                <w:sz w:val="24"/>
                <w:szCs w:val="24"/>
              </w:rPr>
            </w:pPr>
          </w:p>
          <w:p w14:paraId="2D6A42D0" w14:textId="77777777" w:rsidR="00E5323B" w:rsidRPr="00C04745" w:rsidRDefault="007127F4" w:rsidP="001A0532">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091FAAE"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ACC3C"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p>
        </w:tc>
      </w:tr>
      <w:tr w:rsidR="00C04745" w:rsidRPr="00C04745" w14:paraId="6FAA2F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EACF3D6"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13428A" w14:textId="77777777" w:rsidR="00E5323B" w:rsidRPr="00C04745"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9EC944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005F93"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D5F5BB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4DBEF1"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7A2E005"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78E9B2"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66DC08D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E37F1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8EA0B2" w14:textId="77777777" w:rsidR="00E5323B" w:rsidRPr="00C04745"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2B78756"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CFAA55"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1AC672A6"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2906C6"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F5A3D0"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9A19C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26B93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BEB4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8D23EF" w14:textId="77777777" w:rsidR="00E5323B" w:rsidRPr="00C04745" w:rsidRDefault="00E5323B" w:rsidP="001A0532">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2A86350" w14:textId="6A22C000"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B62375" w:rsidRPr="00C04745">
              <w:rPr>
                <w:rFonts w:ascii="Times New Roman" w:hAnsi="Times New Roman" w:cs="Times New Roman"/>
                <w:sz w:val="24"/>
                <w:szCs w:val="24"/>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F6C596"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06D6F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0D861" w14:textId="77777777" w:rsidR="00E5323B" w:rsidRPr="00C04745" w:rsidRDefault="00E5323B" w:rsidP="001A0532">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729F29B"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4CF75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r w:rsidR="000F439F" w:rsidRPr="00C04745">
              <w:rPr>
                <w:rFonts w:ascii="Times New Roman" w:hAnsi="Times New Roman" w:cs="Times New Roman"/>
                <w:sz w:val="24"/>
                <w:szCs w:val="24"/>
              </w:rPr>
              <w:t>0</w:t>
            </w:r>
          </w:p>
        </w:tc>
      </w:tr>
      <w:tr w:rsidR="00C04745" w:rsidRPr="00C04745" w14:paraId="7504872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3C82A9"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E6D5FE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w:t>
            </w:r>
          </w:p>
        </w:tc>
      </w:tr>
      <w:tr w:rsidR="00C04745" w:rsidRPr="00C04745" w14:paraId="681F286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C15DB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346BFA" w14:textId="77777777" w:rsidR="00E5323B" w:rsidRPr="00C04745" w:rsidRDefault="00E5323B" w:rsidP="001A0532">
            <w:pPr>
              <w:spacing w:after="0" w:line="240" w:lineRule="auto"/>
              <w:rPr>
                <w:rFonts w:ascii="Times New Roman" w:hAnsi="Times New Roman" w:cs="Times New Roman"/>
                <w:sz w:val="24"/>
                <w:szCs w:val="24"/>
              </w:rPr>
            </w:pPr>
          </w:p>
        </w:tc>
      </w:tr>
      <w:tr w:rsidR="00C04745" w:rsidRPr="00C04745" w14:paraId="3065CE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E5D649D"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FE99E2C" w14:textId="77777777" w:rsidR="00E5323B" w:rsidRPr="00C04745" w:rsidRDefault="00E5323B" w:rsidP="001A0532">
            <w:pPr>
              <w:spacing w:after="0" w:line="240" w:lineRule="auto"/>
              <w:rPr>
                <w:rFonts w:ascii="Times New Roman" w:hAnsi="Times New Roman" w:cs="Times New Roman"/>
                <w:sz w:val="24"/>
                <w:szCs w:val="24"/>
              </w:rPr>
            </w:pPr>
          </w:p>
        </w:tc>
      </w:tr>
      <w:tr w:rsidR="00C04745" w:rsidRPr="00C04745" w14:paraId="798830C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A59BE1"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0859D68A" w14:textId="77777777" w:rsidR="00E5323B" w:rsidRPr="00C04745" w:rsidRDefault="000F439F"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Projekts šo jomu neskar.</w:t>
            </w:r>
          </w:p>
        </w:tc>
      </w:tr>
      <w:tr w:rsidR="00C04745" w:rsidRPr="00C04745" w14:paraId="5AD7D2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8C3B7BA" w14:textId="77777777" w:rsidR="000F439F" w:rsidRPr="00C04745" w:rsidRDefault="000F439F"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76C4366" w14:textId="70EF6ECF" w:rsidR="00D7625B" w:rsidRPr="00C04745" w:rsidRDefault="00D7625B" w:rsidP="001A0532">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Rīkojuma projektā minēto valstij pie</w:t>
            </w:r>
            <w:r w:rsidR="003D26FF" w:rsidRPr="00C04745">
              <w:rPr>
                <w:rFonts w:ascii="Times New Roman" w:hAnsi="Times New Roman" w:cs="Times New Roman"/>
                <w:sz w:val="24"/>
                <w:szCs w:val="24"/>
              </w:rPr>
              <w:t>krītoš</w:t>
            </w:r>
            <w:r w:rsidR="000B66E6">
              <w:rPr>
                <w:rFonts w:ascii="Times New Roman" w:hAnsi="Times New Roman" w:cs="Times New Roman"/>
                <w:sz w:val="24"/>
                <w:szCs w:val="24"/>
              </w:rPr>
              <w:t>o</w:t>
            </w:r>
            <w:r w:rsidRPr="00C04745">
              <w:rPr>
                <w:rFonts w:ascii="Times New Roman" w:hAnsi="Times New Roman" w:cs="Times New Roman"/>
                <w:sz w:val="24"/>
                <w:szCs w:val="24"/>
              </w:rPr>
              <w:t xml:space="preserve"> </w:t>
            </w:r>
            <w:r w:rsidR="00C46FCA" w:rsidRPr="00C04745">
              <w:rPr>
                <w:rFonts w:ascii="Times New Roman" w:hAnsi="Times New Roman" w:cs="Times New Roman"/>
                <w:sz w:val="24"/>
                <w:szCs w:val="24"/>
              </w:rPr>
              <w:t>dzīvokļ</w:t>
            </w:r>
            <w:r w:rsidR="00837EBB" w:rsidRPr="00C04745">
              <w:rPr>
                <w:rFonts w:ascii="Times New Roman" w:hAnsi="Times New Roman" w:cs="Times New Roman"/>
                <w:sz w:val="24"/>
                <w:szCs w:val="24"/>
              </w:rPr>
              <w:t>u</w:t>
            </w:r>
            <w:r w:rsidRPr="00C04745">
              <w:rPr>
                <w:rFonts w:ascii="Times New Roman" w:hAnsi="Times New Roman" w:cs="Times New Roman"/>
                <w:sz w:val="24"/>
                <w:szCs w:val="24"/>
              </w:rPr>
              <w:t xml:space="preserve"> īpašumu valsts pašvaldīb</w:t>
            </w:r>
            <w:r w:rsidR="00837EBB" w:rsidRPr="00C04745">
              <w:rPr>
                <w:rFonts w:ascii="Times New Roman" w:hAnsi="Times New Roman" w:cs="Times New Roman"/>
                <w:sz w:val="24"/>
                <w:szCs w:val="24"/>
              </w:rPr>
              <w:t xml:space="preserve">ām </w:t>
            </w:r>
            <w:r w:rsidRPr="00C04745">
              <w:rPr>
                <w:rFonts w:ascii="Times New Roman" w:hAnsi="Times New Roman" w:cs="Times New Roman"/>
                <w:sz w:val="24"/>
                <w:szCs w:val="24"/>
              </w:rPr>
              <w:t>nodos bez maksas.</w:t>
            </w:r>
          </w:p>
          <w:p w14:paraId="5F625806" w14:textId="4F1011FC" w:rsidR="000F439F" w:rsidRPr="00C04745" w:rsidRDefault="00D7625B" w:rsidP="001A0532">
            <w:pPr>
              <w:pStyle w:val="BlockText"/>
              <w:tabs>
                <w:tab w:val="left" w:pos="850"/>
              </w:tabs>
              <w:ind w:left="0" w:right="0" w:firstLine="0"/>
              <w:rPr>
                <w:rFonts w:eastAsiaTheme="minorHAnsi"/>
                <w:sz w:val="24"/>
                <w:szCs w:val="24"/>
                <w:lang w:eastAsia="en-US"/>
              </w:rPr>
            </w:pPr>
            <w:r w:rsidRPr="00C04745">
              <w:rPr>
                <w:sz w:val="24"/>
                <w:szCs w:val="24"/>
              </w:rPr>
              <w:t>Projekta ietekme uz valsts budžetu nav paredzēta un ar nekustam</w:t>
            </w:r>
            <w:r w:rsidR="000B66E6">
              <w:rPr>
                <w:sz w:val="24"/>
                <w:szCs w:val="24"/>
              </w:rPr>
              <w:t>ā īpašumā</w:t>
            </w:r>
            <w:r w:rsidRPr="00C04745">
              <w:rPr>
                <w:sz w:val="24"/>
                <w:szCs w:val="24"/>
              </w:rPr>
              <w:t xml:space="preserve"> īpašniek</w:t>
            </w:r>
            <w:r w:rsidR="000B66E6">
              <w:rPr>
                <w:sz w:val="24"/>
                <w:szCs w:val="24"/>
              </w:rPr>
              <w:t>a</w:t>
            </w:r>
            <w:r w:rsidRPr="00C04745">
              <w:rPr>
                <w:sz w:val="24"/>
                <w:szCs w:val="24"/>
              </w:rPr>
              <w:t xml:space="preserve"> maiņu saistītie izdevumi tiks segti no pašvaldīb</w:t>
            </w:r>
            <w:r w:rsidR="00B4371D" w:rsidRPr="00C04745">
              <w:rPr>
                <w:sz w:val="24"/>
                <w:szCs w:val="24"/>
              </w:rPr>
              <w:t xml:space="preserve">as </w:t>
            </w:r>
            <w:r w:rsidRPr="00C04745">
              <w:rPr>
                <w:sz w:val="24"/>
                <w:szCs w:val="24"/>
              </w:rPr>
              <w:t>līdzekļiem.</w:t>
            </w:r>
          </w:p>
        </w:tc>
      </w:tr>
    </w:tbl>
    <w:p w14:paraId="6E158D40" w14:textId="77777777" w:rsidR="00726FB9" w:rsidRPr="00C04745" w:rsidRDefault="00E5323B" w:rsidP="001A0532">
      <w:pPr>
        <w:spacing w:after="0" w:line="240" w:lineRule="auto"/>
        <w:rPr>
          <w:rFonts w:ascii="Times New Roman" w:hAnsi="Times New Roman" w:cs="Times New Roman"/>
          <w:sz w:val="28"/>
          <w:szCs w:val="28"/>
        </w:rPr>
      </w:pPr>
      <w:r w:rsidRPr="00C04745">
        <w:rPr>
          <w:rFonts w:ascii="Times New Roman" w:hAnsi="Times New Roman" w:cs="Times New Roman"/>
          <w:sz w:val="28"/>
          <w:szCs w:val="28"/>
        </w:rPr>
        <w:t xml:space="preserve">  </w:t>
      </w: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C04745" w:rsidRPr="00C04745" w14:paraId="31A8B8AC" w14:textId="77777777" w:rsidTr="00110BB1">
        <w:trPr>
          <w:tblCellSpacing w:w="20" w:type="dxa"/>
        </w:trPr>
        <w:tc>
          <w:tcPr>
            <w:tcW w:w="8995" w:type="dxa"/>
            <w:hideMark/>
          </w:tcPr>
          <w:p w14:paraId="343D606B" w14:textId="77777777" w:rsidR="00726FB9" w:rsidRPr="00C04745" w:rsidRDefault="00726FB9" w:rsidP="00110BB1">
            <w:pPr>
              <w:spacing w:after="0" w:line="240" w:lineRule="auto"/>
              <w:ind w:firstLine="601"/>
              <w:jc w:val="center"/>
              <w:rPr>
                <w:rFonts w:ascii="Times New Roman" w:hAnsi="Times New Roman" w:cs="Times New Roman"/>
                <w:sz w:val="24"/>
                <w:szCs w:val="24"/>
              </w:rPr>
            </w:pPr>
            <w:r w:rsidRPr="00C04745">
              <w:rPr>
                <w:rFonts w:ascii="Times New Roman" w:hAnsi="Times New Roman" w:cs="Times New Roman"/>
                <w:b/>
                <w:bCs/>
                <w:sz w:val="24"/>
                <w:szCs w:val="24"/>
              </w:rPr>
              <w:t xml:space="preserve">IV. </w:t>
            </w:r>
            <w:r w:rsidRPr="00C04745">
              <w:rPr>
                <w:rFonts w:ascii="Times New Roman" w:hAnsi="Times New Roman" w:cs="Times New Roman"/>
                <w:b/>
                <w:bCs/>
                <w:sz w:val="24"/>
                <w:szCs w:val="24"/>
                <w:shd w:val="clear" w:color="auto" w:fill="FFFFFF"/>
              </w:rPr>
              <w:t>Tiesību akta projekta ietekme uz spēkā esošo tiesību normu sistēmu</w:t>
            </w:r>
          </w:p>
        </w:tc>
      </w:tr>
      <w:tr w:rsidR="00C04745" w:rsidRPr="00C04745" w14:paraId="06045E6D" w14:textId="77777777" w:rsidTr="00110BB1">
        <w:trPr>
          <w:tblCellSpacing w:w="20" w:type="dxa"/>
        </w:trPr>
        <w:tc>
          <w:tcPr>
            <w:tcW w:w="8995" w:type="dxa"/>
            <w:hideMark/>
          </w:tcPr>
          <w:p w14:paraId="30C1631F" w14:textId="77777777" w:rsidR="00726FB9" w:rsidRPr="00C04745" w:rsidRDefault="00726FB9" w:rsidP="00110BB1">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shd w:val="clear" w:color="auto" w:fill="FFFFFF"/>
              </w:rPr>
              <w:t>Projekts šo jomu neskar.</w:t>
            </w:r>
          </w:p>
        </w:tc>
      </w:tr>
    </w:tbl>
    <w:p w14:paraId="70A73DFB" w14:textId="77777777" w:rsidR="00726FB9" w:rsidRPr="00C04745" w:rsidRDefault="00726FB9" w:rsidP="00726FB9">
      <w:pPr>
        <w:spacing w:after="0" w:line="240" w:lineRule="auto"/>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C04745" w:rsidRPr="00C04745" w14:paraId="6DC2DA1B" w14:textId="77777777" w:rsidTr="00110BB1">
        <w:trPr>
          <w:tblCellSpacing w:w="20" w:type="dxa"/>
        </w:trPr>
        <w:tc>
          <w:tcPr>
            <w:tcW w:w="8995" w:type="dxa"/>
            <w:hideMark/>
          </w:tcPr>
          <w:p w14:paraId="5B01C3D6" w14:textId="77777777" w:rsidR="00726FB9" w:rsidRPr="00C04745" w:rsidRDefault="00726FB9" w:rsidP="00110BB1">
            <w:pPr>
              <w:spacing w:after="0" w:line="240" w:lineRule="auto"/>
              <w:ind w:firstLine="601"/>
              <w:jc w:val="center"/>
              <w:rPr>
                <w:rFonts w:ascii="Times New Roman" w:hAnsi="Times New Roman" w:cs="Times New Roman"/>
                <w:sz w:val="24"/>
                <w:szCs w:val="24"/>
              </w:rPr>
            </w:pPr>
            <w:r w:rsidRPr="00C04745">
              <w:rPr>
                <w:rFonts w:ascii="Times New Roman" w:hAnsi="Times New Roman" w:cs="Times New Roman"/>
                <w:b/>
                <w:bCs/>
                <w:sz w:val="24"/>
                <w:szCs w:val="24"/>
              </w:rPr>
              <w:t xml:space="preserve">V. </w:t>
            </w:r>
            <w:r w:rsidRPr="00C04745">
              <w:rPr>
                <w:rFonts w:ascii="Times New Roman" w:hAnsi="Times New Roman" w:cs="Times New Roman"/>
                <w:b/>
                <w:bCs/>
                <w:sz w:val="24"/>
                <w:szCs w:val="24"/>
                <w:shd w:val="clear" w:color="auto" w:fill="FFFFFF"/>
              </w:rPr>
              <w:t>Tiesību akta projekta atbilstība Latvijas Republikas starptautiskajām saistībām</w:t>
            </w:r>
          </w:p>
        </w:tc>
      </w:tr>
      <w:tr w:rsidR="00C04745" w:rsidRPr="00C04745" w14:paraId="25F03688" w14:textId="77777777" w:rsidTr="00110BB1">
        <w:trPr>
          <w:tblCellSpacing w:w="20" w:type="dxa"/>
        </w:trPr>
        <w:tc>
          <w:tcPr>
            <w:tcW w:w="8995" w:type="dxa"/>
            <w:hideMark/>
          </w:tcPr>
          <w:p w14:paraId="67363731" w14:textId="77777777" w:rsidR="00726FB9" w:rsidRPr="00C04745" w:rsidRDefault="00726FB9" w:rsidP="00110BB1">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shd w:val="clear" w:color="auto" w:fill="FFFFFF"/>
              </w:rPr>
              <w:t>Projekts šo jomu neskar.</w:t>
            </w:r>
          </w:p>
        </w:tc>
      </w:tr>
    </w:tbl>
    <w:p w14:paraId="0B68D02F" w14:textId="77777777" w:rsidR="00726FB9" w:rsidRPr="00C04745" w:rsidRDefault="00726FB9" w:rsidP="00726FB9">
      <w:pPr>
        <w:spacing w:after="0" w:line="240" w:lineRule="auto"/>
        <w:ind w:firstLine="720"/>
        <w:rPr>
          <w:rFonts w:ascii="Times New Roman" w:hAnsi="Times New Roman" w:cs="Times New Roman"/>
          <w:b/>
          <w:sz w:val="24"/>
          <w:szCs w:val="24"/>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C04745" w:rsidRPr="00C04745" w14:paraId="65439591" w14:textId="77777777" w:rsidTr="00110BB1">
        <w:trPr>
          <w:tblCellSpacing w:w="20" w:type="dxa"/>
        </w:trPr>
        <w:tc>
          <w:tcPr>
            <w:tcW w:w="8995" w:type="dxa"/>
            <w:hideMark/>
          </w:tcPr>
          <w:p w14:paraId="4F074735" w14:textId="77777777" w:rsidR="00726FB9" w:rsidRPr="00C04745" w:rsidRDefault="00726FB9" w:rsidP="00110BB1">
            <w:pPr>
              <w:spacing w:after="0" w:line="240" w:lineRule="auto"/>
              <w:ind w:firstLine="601"/>
              <w:jc w:val="center"/>
              <w:rPr>
                <w:rFonts w:ascii="Times New Roman" w:hAnsi="Times New Roman" w:cs="Times New Roman"/>
                <w:sz w:val="24"/>
                <w:szCs w:val="24"/>
              </w:rPr>
            </w:pPr>
            <w:r w:rsidRPr="00C04745">
              <w:rPr>
                <w:rFonts w:ascii="Times New Roman" w:hAnsi="Times New Roman" w:cs="Times New Roman"/>
                <w:b/>
                <w:sz w:val="24"/>
                <w:szCs w:val="24"/>
              </w:rPr>
              <w:t>VI. Sabiedrības līdzdalība un komunikācijas aktivitātes</w:t>
            </w:r>
          </w:p>
        </w:tc>
      </w:tr>
      <w:tr w:rsidR="00C04745" w:rsidRPr="00C04745" w14:paraId="16184D2E" w14:textId="77777777" w:rsidTr="00110BB1">
        <w:trPr>
          <w:tblCellSpacing w:w="20" w:type="dxa"/>
        </w:trPr>
        <w:tc>
          <w:tcPr>
            <w:tcW w:w="8995" w:type="dxa"/>
            <w:hideMark/>
          </w:tcPr>
          <w:p w14:paraId="3BE33295" w14:textId="77777777" w:rsidR="00726FB9" w:rsidRPr="00C04745" w:rsidRDefault="00726FB9" w:rsidP="00110BB1">
            <w:pPr>
              <w:spacing w:after="0" w:line="240" w:lineRule="auto"/>
              <w:jc w:val="center"/>
              <w:rPr>
                <w:rFonts w:ascii="Times New Roman" w:hAnsi="Times New Roman" w:cs="Times New Roman"/>
                <w:sz w:val="24"/>
                <w:szCs w:val="24"/>
              </w:rPr>
            </w:pPr>
            <w:r w:rsidRPr="00C04745">
              <w:rPr>
                <w:rFonts w:ascii="Times New Roman" w:hAnsi="Times New Roman" w:cs="Times New Roman"/>
                <w:sz w:val="24"/>
                <w:szCs w:val="24"/>
                <w:shd w:val="clear" w:color="auto" w:fill="FFFFFF"/>
              </w:rPr>
              <w:t>Projekts šo jomu neskar.</w:t>
            </w:r>
          </w:p>
        </w:tc>
      </w:tr>
    </w:tbl>
    <w:p w14:paraId="0355E96D" w14:textId="3D3888A9"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4745" w:rsidRPr="00C04745" w14:paraId="2722D8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E8B2DF" w14:textId="77777777" w:rsidR="00655F2C" w:rsidRPr="00C04745" w:rsidRDefault="00E5323B" w:rsidP="001A0532">
            <w:pPr>
              <w:spacing w:after="0" w:line="240" w:lineRule="auto"/>
              <w:jc w:val="center"/>
              <w:rPr>
                <w:rFonts w:ascii="Times New Roman" w:hAnsi="Times New Roman" w:cs="Times New Roman"/>
                <w:b/>
                <w:sz w:val="24"/>
                <w:szCs w:val="24"/>
              </w:rPr>
            </w:pPr>
            <w:r w:rsidRPr="00C04745">
              <w:rPr>
                <w:rFonts w:ascii="Times New Roman" w:hAnsi="Times New Roman" w:cs="Times New Roman"/>
                <w:b/>
                <w:sz w:val="24"/>
                <w:szCs w:val="24"/>
              </w:rPr>
              <w:t>VII. Tiesību akta projekta izpildes nodrošināšana un tās ietekme uz institūcijām</w:t>
            </w:r>
          </w:p>
        </w:tc>
      </w:tr>
      <w:tr w:rsidR="00C04745" w:rsidRPr="00C04745" w14:paraId="0F15CA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0B9CA"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87486F3"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969E8D4" w14:textId="73E77338" w:rsidR="00E5323B" w:rsidRPr="00C04745" w:rsidRDefault="00B4371D" w:rsidP="00B4371D">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 xml:space="preserve">VARAM </w:t>
            </w:r>
            <w:r w:rsidR="000F439F" w:rsidRPr="00C04745">
              <w:rPr>
                <w:rFonts w:ascii="Times New Roman" w:hAnsi="Times New Roman" w:cs="Times New Roman"/>
                <w:sz w:val="24"/>
                <w:szCs w:val="24"/>
              </w:rPr>
              <w:t xml:space="preserve">un </w:t>
            </w:r>
            <w:r w:rsidRPr="00C04745">
              <w:rPr>
                <w:rFonts w:ascii="Times New Roman" w:hAnsi="Times New Roman" w:cs="Times New Roman"/>
                <w:sz w:val="24"/>
                <w:szCs w:val="24"/>
              </w:rPr>
              <w:t>Rīgas pilsētas pašvaldība</w:t>
            </w:r>
          </w:p>
        </w:tc>
      </w:tr>
      <w:tr w:rsidR="00C04745" w:rsidRPr="00C04745" w14:paraId="4F6FD9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81FC"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8298D0A"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Projekta izpildes ietekme uz pārvaldes funkcijām un institucionālo struktūru.</w:t>
            </w:r>
            <w:r w:rsidRPr="00C04745">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1ABA74" w14:textId="6A15F606" w:rsidR="00E5323B" w:rsidRPr="00C04745" w:rsidRDefault="000F439F" w:rsidP="001A0532">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r w:rsidR="00B62375" w:rsidRPr="00C04745">
              <w:rPr>
                <w:sz w:val="24"/>
                <w:szCs w:val="24"/>
              </w:rPr>
              <w:t xml:space="preserve"> </w:t>
            </w:r>
            <w:r w:rsidR="00B62375" w:rsidRPr="00C04745">
              <w:rPr>
                <w:rFonts w:ascii="Times New Roman" w:hAnsi="Times New Roman" w:cs="Times New Roman"/>
                <w:sz w:val="24"/>
                <w:szCs w:val="24"/>
              </w:rPr>
              <w:t>Rīkojuma projekta izpilde neietekmēs iesaistīto institūciju pieejamos cilvēkresursus.</w:t>
            </w:r>
          </w:p>
        </w:tc>
      </w:tr>
      <w:tr w:rsidR="00E5323B" w:rsidRPr="00C04745" w14:paraId="5FE21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09D32B" w14:textId="77777777" w:rsidR="00655F2C"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40F6C474" w14:textId="77777777" w:rsidR="00E5323B" w:rsidRPr="00C04745" w:rsidRDefault="00E5323B"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DB79F2" w14:textId="7A98062E" w:rsidR="00E5323B" w:rsidRPr="00C04745" w:rsidRDefault="000F439F" w:rsidP="001A0532">
            <w:pPr>
              <w:spacing w:after="0" w:line="240" w:lineRule="auto"/>
              <w:jc w:val="both"/>
              <w:rPr>
                <w:rFonts w:ascii="Times New Roman" w:hAnsi="Times New Roman" w:cs="Times New Roman"/>
                <w:sz w:val="24"/>
                <w:szCs w:val="24"/>
              </w:rPr>
            </w:pPr>
            <w:r w:rsidRPr="00C04745">
              <w:rPr>
                <w:rFonts w:ascii="Times New Roman" w:hAnsi="Times New Roman" w:cs="Times New Roman"/>
                <w:sz w:val="24"/>
                <w:szCs w:val="24"/>
              </w:rPr>
              <w:t xml:space="preserve">Saskaņā ar Oficiālo publikāciju un tiesiskās informācijas likuma 2.panta pirmo daļu un 3.panta pirmo daļu tiesību aktus publicē oficiālajā izdevumā </w:t>
            </w:r>
            <w:r w:rsidR="00EC18E0" w:rsidRPr="00C04745">
              <w:rPr>
                <w:rFonts w:ascii="Times New Roman" w:hAnsi="Times New Roman" w:cs="Times New Roman"/>
                <w:sz w:val="24"/>
                <w:szCs w:val="24"/>
              </w:rPr>
              <w:t>“</w:t>
            </w:r>
            <w:r w:rsidRPr="00C04745">
              <w:rPr>
                <w:rFonts w:ascii="Times New Roman" w:hAnsi="Times New Roman" w:cs="Times New Roman"/>
                <w:sz w:val="24"/>
                <w:szCs w:val="24"/>
              </w:rPr>
              <w:t xml:space="preserve">Latvijas Vēstnesis”, tos publicējot elektroniski tīmekļa vietnē </w:t>
            </w:r>
            <w:hyperlink r:id="rId11" w:history="1">
              <w:r w:rsidR="00603660" w:rsidRPr="00061414">
                <w:rPr>
                  <w:rStyle w:val="Hyperlink"/>
                  <w:rFonts w:ascii="Times New Roman" w:hAnsi="Times New Roman" w:cs="Times New Roman"/>
                  <w:sz w:val="24"/>
                  <w:szCs w:val="24"/>
                </w:rPr>
                <w:t>www.vestnesis.lv</w:t>
              </w:r>
            </w:hyperlink>
            <w:r w:rsidRPr="00C04745">
              <w:rPr>
                <w:rFonts w:ascii="Times New Roman" w:hAnsi="Times New Roman" w:cs="Times New Roman"/>
                <w:sz w:val="24"/>
                <w:szCs w:val="24"/>
              </w:rPr>
              <w:t>.</w:t>
            </w:r>
            <w:r w:rsidR="00603660">
              <w:rPr>
                <w:rFonts w:ascii="Times New Roman" w:hAnsi="Times New Roman" w:cs="Times New Roman"/>
                <w:sz w:val="24"/>
                <w:szCs w:val="24"/>
              </w:rPr>
              <w:t xml:space="preserve"> </w:t>
            </w:r>
          </w:p>
        </w:tc>
      </w:tr>
    </w:tbl>
    <w:p w14:paraId="7EA5CB67" w14:textId="77777777" w:rsidR="00C25B49" w:rsidRPr="00C04745" w:rsidRDefault="00C25B49" w:rsidP="001A0532">
      <w:pPr>
        <w:spacing w:after="0" w:line="240" w:lineRule="auto"/>
        <w:rPr>
          <w:rFonts w:ascii="Times New Roman" w:hAnsi="Times New Roman" w:cs="Times New Roman"/>
          <w:sz w:val="24"/>
          <w:szCs w:val="24"/>
        </w:rPr>
      </w:pPr>
    </w:p>
    <w:p w14:paraId="7F1E1AA5" w14:textId="77777777" w:rsidR="00B4371D" w:rsidRPr="00C04745" w:rsidRDefault="00B4371D"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Vides aizsardzības un reģionālās</w:t>
      </w:r>
    </w:p>
    <w:p w14:paraId="78F89BC4" w14:textId="22FC9002" w:rsidR="009033CB" w:rsidRPr="00C04745" w:rsidRDefault="003F793C" w:rsidP="001A0532">
      <w:pPr>
        <w:spacing w:after="0" w:line="240" w:lineRule="auto"/>
        <w:rPr>
          <w:rFonts w:ascii="Times New Roman" w:hAnsi="Times New Roman" w:cs="Times New Roman"/>
          <w:sz w:val="24"/>
          <w:szCs w:val="24"/>
        </w:rPr>
      </w:pPr>
      <w:r w:rsidRPr="00C04745">
        <w:rPr>
          <w:rFonts w:ascii="Times New Roman" w:hAnsi="Times New Roman" w:cs="Times New Roman"/>
          <w:sz w:val="24"/>
          <w:szCs w:val="24"/>
        </w:rPr>
        <w:t>a</w:t>
      </w:r>
      <w:r w:rsidR="00B4371D" w:rsidRPr="00C04745">
        <w:rPr>
          <w:rFonts w:ascii="Times New Roman" w:hAnsi="Times New Roman" w:cs="Times New Roman"/>
          <w:sz w:val="24"/>
          <w:szCs w:val="24"/>
        </w:rPr>
        <w:t xml:space="preserve">ttīstības </w:t>
      </w:r>
      <w:r w:rsidR="009033CB" w:rsidRPr="00C04745">
        <w:rPr>
          <w:rFonts w:ascii="Times New Roman" w:hAnsi="Times New Roman" w:cs="Times New Roman"/>
          <w:sz w:val="24"/>
          <w:szCs w:val="24"/>
        </w:rPr>
        <w:t>ministrs</w:t>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9033CB" w:rsidRPr="00C04745">
        <w:rPr>
          <w:rFonts w:ascii="Times New Roman" w:hAnsi="Times New Roman" w:cs="Times New Roman"/>
          <w:sz w:val="24"/>
          <w:szCs w:val="24"/>
        </w:rPr>
        <w:tab/>
      </w:r>
      <w:r w:rsidR="00603660">
        <w:rPr>
          <w:rFonts w:ascii="Times New Roman" w:hAnsi="Times New Roman" w:cs="Times New Roman"/>
          <w:sz w:val="24"/>
          <w:szCs w:val="24"/>
        </w:rPr>
        <w:t xml:space="preserve">              </w:t>
      </w:r>
      <w:proofErr w:type="spellStart"/>
      <w:r w:rsidR="00007E30" w:rsidRPr="00C04745">
        <w:rPr>
          <w:rFonts w:ascii="Times New Roman" w:hAnsi="Times New Roman" w:cs="Times New Roman"/>
          <w:sz w:val="24"/>
          <w:szCs w:val="24"/>
        </w:rPr>
        <w:t>A.T.Plešs</w:t>
      </w:r>
      <w:proofErr w:type="spellEnd"/>
    </w:p>
    <w:p w14:paraId="6AB22630" w14:textId="77777777" w:rsidR="009033CB" w:rsidRPr="00C04745" w:rsidRDefault="009033CB" w:rsidP="001A0532">
      <w:pPr>
        <w:pStyle w:val="BodyText"/>
        <w:spacing w:before="0" w:after="0"/>
        <w:jc w:val="left"/>
        <w:rPr>
          <w:rFonts w:eastAsiaTheme="minorHAnsi"/>
          <w:sz w:val="24"/>
          <w:szCs w:val="24"/>
          <w:lang w:eastAsia="en-US"/>
        </w:rPr>
      </w:pPr>
    </w:p>
    <w:p w14:paraId="69D4F71D" w14:textId="77777777" w:rsidR="0096186D" w:rsidRPr="00C04745" w:rsidRDefault="0096186D" w:rsidP="001A0532">
      <w:pPr>
        <w:pStyle w:val="Heading4"/>
        <w:spacing w:before="0" w:after="0"/>
        <w:rPr>
          <w:rFonts w:ascii="Times New Roman" w:eastAsiaTheme="minorHAnsi" w:hAnsi="Times New Roman"/>
          <w:b w:val="0"/>
          <w:bCs w:val="0"/>
          <w:lang w:val="lv-LV" w:eastAsia="en-US"/>
        </w:rPr>
      </w:pPr>
    </w:p>
    <w:p w14:paraId="5825BAFF" w14:textId="5AD7B0A3" w:rsidR="00B62375" w:rsidRPr="00603660" w:rsidRDefault="003F793C" w:rsidP="00B62375">
      <w:pPr>
        <w:spacing w:after="0" w:line="240" w:lineRule="auto"/>
        <w:rPr>
          <w:rFonts w:ascii="Times New Roman" w:hAnsi="Times New Roman" w:cs="Times New Roman"/>
          <w:sz w:val="24"/>
          <w:szCs w:val="24"/>
        </w:rPr>
      </w:pPr>
      <w:r w:rsidRPr="00603660">
        <w:rPr>
          <w:rFonts w:ascii="Times New Roman" w:hAnsi="Times New Roman" w:cs="Times New Roman"/>
          <w:sz w:val="24"/>
          <w:szCs w:val="24"/>
        </w:rPr>
        <w:t>Kāpostiņš, 67026565</w:t>
      </w:r>
    </w:p>
    <w:p w14:paraId="3A83A4F3" w14:textId="19EC24AB" w:rsidR="00B62375" w:rsidRPr="00603660" w:rsidRDefault="00603660" w:rsidP="00B62375">
      <w:pPr>
        <w:spacing w:after="0" w:line="240" w:lineRule="auto"/>
        <w:rPr>
          <w:rFonts w:ascii="Times New Roman" w:hAnsi="Times New Roman" w:cs="Times New Roman"/>
          <w:sz w:val="24"/>
          <w:szCs w:val="24"/>
        </w:rPr>
      </w:pPr>
      <w:hyperlink r:id="rId12" w:history="1">
        <w:r w:rsidRPr="00061414">
          <w:rPr>
            <w:rStyle w:val="Hyperlink"/>
            <w:rFonts w:ascii="Times New Roman" w:hAnsi="Times New Roman"/>
          </w:rPr>
          <w:t>Edvins.kapostins@varam.gov.lv</w:t>
        </w:r>
      </w:hyperlink>
      <w:r>
        <w:rPr>
          <w:rFonts w:ascii="Times New Roman" w:hAnsi="Times New Roman"/>
        </w:rPr>
        <w:t xml:space="preserve"> </w:t>
      </w:r>
      <w:hyperlink r:id="rId13" w:history="1"/>
      <w:r w:rsidR="00B62375" w:rsidRPr="00603660">
        <w:rPr>
          <w:rFonts w:ascii="Times New Roman" w:hAnsi="Times New Roman" w:cs="Times New Roman"/>
          <w:sz w:val="24"/>
          <w:szCs w:val="24"/>
        </w:rPr>
        <w:t xml:space="preserve"> </w:t>
      </w:r>
    </w:p>
    <w:p w14:paraId="3BE37D65" w14:textId="77777777" w:rsidR="003F793C" w:rsidRPr="00C04745" w:rsidRDefault="003F793C" w:rsidP="00B62375">
      <w:pPr>
        <w:spacing w:after="0" w:line="240" w:lineRule="auto"/>
        <w:rPr>
          <w:rFonts w:ascii="Times New Roman" w:hAnsi="Times New Roman" w:cs="Times New Roman"/>
          <w:sz w:val="24"/>
          <w:szCs w:val="24"/>
        </w:rPr>
      </w:pPr>
    </w:p>
    <w:p w14:paraId="675BCFB9" w14:textId="77777777" w:rsidR="00B62375" w:rsidRPr="00C04745" w:rsidRDefault="00B62375" w:rsidP="00B62375">
      <w:pPr>
        <w:spacing w:after="0" w:line="240" w:lineRule="auto"/>
        <w:rPr>
          <w:rFonts w:ascii="Times New Roman" w:hAnsi="Times New Roman" w:cs="Times New Roman"/>
          <w:sz w:val="24"/>
          <w:szCs w:val="24"/>
        </w:rPr>
      </w:pPr>
    </w:p>
    <w:p w14:paraId="3F41EC5B" w14:textId="77777777" w:rsidR="001A0532" w:rsidRPr="00C04745" w:rsidRDefault="001A0532">
      <w:pPr>
        <w:spacing w:after="0" w:line="240" w:lineRule="auto"/>
        <w:rPr>
          <w:rFonts w:ascii="Times New Roman" w:hAnsi="Times New Roman" w:cs="Times New Roman"/>
          <w:sz w:val="28"/>
          <w:szCs w:val="28"/>
        </w:rPr>
      </w:pPr>
    </w:p>
    <w:sectPr w:rsidR="001A0532" w:rsidRPr="00C04745" w:rsidSect="004F5EF7">
      <w:headerReference w:type="default" r:id="rId14"/>
      <w:footerReference w:type="default" r:id="rId15"/>
      <w:footerReference w:type="first" r:id="rId16"/>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EC7F" w14:textId="77777777" w:rsidR="002149BC" w:rsidRDefault="002149BC" w:rsidP="00894C55">
      <w:pPr>
        <w:spacing w:after="0" w:line="240" w:lineRule="auto"/>
      </w:pPr>
      <w:r>
        <w:separator/>
      </w:r>
    </w:p>
  </w:endnote>
  <w:endnote w:type="continuationSeparator" w:id="0">
    <w:p w14:paraId="6D4F09D2" w14:textId="77777777" w:rsidR="002149BC" w:rsidRDefault="002149B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4EF0" w14:textId="59E9CC1B" w:rsidR="00110BB1" w:rsidRPr="00AB237A" w:rsidRDefault="00CE0762" w:rsidP="00AB237A">
    <w:pPr>
      <w:pStyle w:val="Footer"/>
    </w:pPr>
    <w:r>
      <w:rPr>
        <w:rFonts w:ascii="Times New Roman" w:hAnsi="Times New Roman" w:cs="Times New Roman"/>
        <w:sz w:val="20"/>
      </w:rPr>
      <w:t>VARAManot_2105</w:t>
    </w:r>
    <w:r w:rsidR="00AB237A" w:rsidRPr="00AB237A">
      <w:rPr>
        <w:rFonts w:ascii="Times New Roman" w:hAnsi="Times New Roman" w:cs="Times New Roman"/>
        <w:sz w:val="20"/>
      </w:rPr>
      <w:t xml:space="preserve">21_Riga_AGrina </w:t>
    </w:r>
    <w:proofErr w:type="spellStart"/>
    <w:r w:rsidR="00AB237A" w:rsidRPr="00AB237A">
      <w:rPr>
        <w:rFonts w:ascii="Times New Roman" w:hAnsi="Times New Roman" w:cs="Times New Roman"/>
        <w:sz w:val="20"/>
      </w:rPr>
      <w:t>bulv</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8AF4" w14:textId="453F2946" w:rsidR="00110BB1" w:rsidRPr="009A2654" w:rsidRDefault="00CE0762" w:rsidP="00235749">
    <w:pPr>
      <w:jc w:val="both"/>
      <w:rPr>
        <w:rFonts w:ascii="Times New Roman" w:hAnsi="Times New Roman" w:cs="Times New Roman"/>
        <w:sz w:val="20"/>
        <w:szCs w:val="20"/>
      </w:rPr>
    </w:pPr>
    <w:r>
      <w:rPr>
        <w:rFonts w:ascii="Times New Roman" w:hAnsi="Times New Roman" w:cs="Times New Roman"/>
        <w:sz w:val="20"/>
      </w:rPr>
      <w:t>VARAManot_2105</w:t>
    </w:r>
    <w:r w:rsidR="00AB237A">
      <w:rPr>
        <w:rFonts w:ascii="Times New Roman" w:hAnsi="Times New Roman" w:cs="Times New Roman"/>
        <w:sz w:val="20"/>
      </w:rPr>
      <w:t xml:space="preserve">21_Riga_AGrina </w:t>
    </w:r>
    <w:proofErr w:type="spellStart"/>
    <w:r w:rsidR="00AB237A">
      <w:rPr>
        <w:rFonts w:ascii="Times New Roman" w:hAnsi="Times New Roman" w:cs="Times New Roman"/>
        <w:sz w:val="20"/>
      </w:rPr>
      <w:t>bulv</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A434" w14:textId="77777777" w:rsidR="002149BC" w:rsidRDefault="002149BC" w:rsidP="00894C55">
      <w:pPr>
        <w:spacing w:after="0" w:line="240" w:lineRule="auto"/>
      </w:pPr>
      <w:r>
        <w:separator/>
      </w:r>
    </w:p>
  </w:footnote>
  <w:footnote w:type="continuationSeparator" w:id="0">
    <w:p w14:paraId="5A4A024A" w14:textId="77777777" w:rsidR="002149BC" w:rsidRDefault="002149B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B4F78C5" w14:textId="48F91D75" w:rsidR="00110BB1" w:rsidRPr="00C25B49" w:rsidRDefault="00110BB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0D9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94C"/>
    <w:multiLevelType w:val="hybridMultilevel"/>
    <w:tmpl w:val="12FA718E"/>
    <w:lvl w:ilvl="0" w:tplc="0142BB96">
      <w:start w:val="1"/>
      <w:numFmt w:val="decimal"/>
      <w:lvlText w:val="%1)"/>
      <w:lvlJc w:val="left"/>
      <w:pPr>
        <w:ind w:left="1246" w:hanging="360"/>
      </w:pPr>
      <w:rPr>
        <w:rFonts w:hint="default"/>
      </w:rPr>
    </w:lvl>
    <w:lvl w:ilvl="1" w:tplc="04260019" w:tentative="1">
      <w:start w:val="1"/>
      <w:numFmt w:val="lowerLetter"/>
      <w:lvlText w:val="%2."/>
      <w:lvlJc w:val="left"/>
      <w:pPr>
        <w:ind w:left="1966" w:hanging="360"/>
      </w:pPr>
    </w:lvl>
    <w:lvl w:ilvl="2" w:tplc="0426001B" w:tentative="1">
      <w:start w:val="1"/>
      <w:numFmt w:val="lowerRoman"/>
      <w:lvlText w:val="%3."/>
      <w:lvlJc w:val="right"/>
      <w:pPr>
        <w:ind w:left="2686" w:hanging="180"/>
      </w:pPr>
    </w:lvl>
    <w:lvl w:ilvl="3" w:tplc="0426000F" w:tentative="1">
      <w:start w:val="1"/>
      <w:numFmt w:val="decimal"/>
      <w:lvlText w:val="%4."/>
      <w:lvlJc w:val="left"/>
      <w:pPr>
        <w:ind w:left="3406" w:hanging="360"/>
      </w:pPr>
    </w:lvl>
    <w:lvl w:ilvl="4" w:tplc="04260019" w:tentative="1">
      <w:start w:val="1"/>
      <w:numFmt w:val="lowerLetter"/>
      <w:lvlText w:val="%5."/>
      <w:lvlJc w:val="left"/>
      <w:pPr>
        <w:ind w:left="4126" w:hanging="360"/>
      </w:pPr>
    </w:lvl>
    <w:lvl w:ilvl="5" w:tplc="0426001B" w:tentative="1">
      <w:start w:val="1"/>
      <w:numFmt w:val="lowerRoman"/>
      <w:lvlText w:val="%6."/>
      <w:lvlJc w:val="right"/>
      <w:pPr>
        <w:ind w:left="4846" w:hanging="180"/>
      </w:pPr>
    </w:lvl>
    <w:lvl w:ilvl="6" w:tplc="0426000F" w:tentative="1">
      <w:start w:val="1"/>
      <w:numFmt w:val="decimal"/>
      <w:lvlText w:val="%7."/>
      <w:lvlJc w:val="left"/>
      <w:pPr>
        <w:ind w:left="5566" w:hanging="360"/>
      </w:pPr>
    </w:lvl>
    <w:lvl w:ilvl="7" w:tplc="04260019" w:tentative="1">
      <w:start w:val="1"/>
      <w:numFmt w:val="lowerLetter"/>
      <w:lvlText w:val="%8."/>
      <w:lvlJc w:val="left"/>
      <w:pPr>
        <w:ind w:left="6286" w:hanging="360"/>
      </w:pPr>
    </w:lvl>
    <w:lvl w:ilvl="8" w:tplc="0426001B" w:tentative="1">
      <w:start w:val="1"/>
      <w:numFmt w:val="lowerRoman"/>
      <w:lvlText w:val="%9."/>
      <w:lvlJc w:val="right"/>
      <w:pPr>
        <w:ind w:left="7006" w:hanging="180"/>
      </w:pPr>
    </w:lvl>
  </w:abstractNum>
  <w:abstractNum w:abstractNumId="1" w15:restartNumberingAfterBreak="0">
    <w:nsid w:val="0555380E"/>
    <w:multiLevelType w:val="multilevel"/>
    <w:tmpl w:val="1858569E"/>
    <w:lvl w:ilvl="0">
      <w:start w:val="1"/>
      <w:numFmt w:val="decimal"/>
      <w:lvlText w:val="%1."/>
      <w:lvlJc w:val="left"/>
      <w:pPr>
        <w:ind w:left="432" w:hanging="360"/>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2"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4F7143"/>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5DE6B46"/>
    <w:multiLevelType w:val="hybridMultilevel"/>
    <w:tmpl w:val="D5B8A4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4E1694"/>
    <w:multiLevelType w:val="hybridMultilevel"/>
    <w:tmpl w:val="0B74C6CC"/>
    <w:lvl w:ilvl="0" w:tplc="998C09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F62"/>
    <w:rsid w:val="000020AC"/>
    <w:rsid w:val="0000244D"/>
    <w:rsid w:val="00002A67"/>
    <w:rsid w:val="00003726"/>
    <w:rsid w:val="00005580"/>
    <w:rsid w:val="00005873"/>
    <w:rsid w:val="00007E30"/>
    <w:rsid w:val="00010ADD"/>
    <w:rsid w:val="000144E9"/>
    <w:rsid w:val="000236E6"/>
    <w:rsid w:val="00024F19"/>
    <w:rsid w:val="00030D93"/>
    <w:rsid w:val="0003354D"/>
    <w:rsid w:val="00033EE5"/>
    <w:rsid w:val="000348DD"/>
    <w:rsid w:val="000357A1"/>
    <w:rsid w:val="0003765C"/>
    <w:rsid w:val="00040664"/>
    <w:rsid w:val="00055463"/>
    <w:rsid w:val="00055D2D"/>
    <w:rsid w:val="00056C27"/>
    <w:rsid w:val="00056E0F"/>
    <w:rsid w:val="00060DBA"/>
    <w:rsid w:val="000611EE"/>
    <w:rsid w:val="00067728"/>
    <w:rsid w:val="00075E66"/>
    <w:rsid w:val="00077B76"/>
    <w:rsid w:val="00080927"/>
    <w:rsid w:val="0008257E"/>
    <w:rsid w:val="00083640"/>
    <w:rsid w:val="000837D6"/>
    <w:rsid w:val="000838A0"/>
    <w:rsid w:val="00086D73"/>
    <w:rsid w:val="000955D3"/>
    <w:rsid w:val="000A1EDB"/>
    <w:rsid w:val="000A62F7"/>
    <w:rsid w:val="000A67F1"/>
    <w:rsid w:val="000B151C"/>
    <w:rsid w:val="000B2732"/>
    <w:rsid w:val="000B493A"/>
    <w:rsid w:val="000B53C2"/>
    <w:rsid w:val="000B66E6"/>
    <w:rsid w:val="000B72BF"/>
    <w:rsid w:val="000C3BC8"/>
    <w:rsid w:val="000C5D89"/>
    <w:rsid w:val="000D5CC9"/>
    <w:rsid w:val="000E434D"/>
    <w:rsid w:val="000E48F7"/>
    <w:rsid w:val="000F34FD"/>
    <w:rsid w:val="000F439F"/>
    <w:rsid w:val="000F53D2"/>
    <w:rsid w:val="000F7480"/>
    <w:rsid w:val="00100686"/>
    <w:rsid w:val="0010471A"/>
    <w:rsid w:val="001066B2"/>
    <w:rsid w:val="00110B9B"/>
    <w:rsid w:val="00110BB1"/>
    <w:rsid w:val="001111DB"/>
    <w:rsid w:val="00113244"/>
    <w:rsid w:val="00123901"/>
    <w:rsid w:val="00125EF1"/>
    <w:rsid w:val="00132A11"/>
    <w:rsid w:val="00134B6A"/>
    <w:rsid w:val="0014307E"/>
    <w:rsid w:val="00144864"/>
    <w:rsid w:val="00151AD1"/>
    <w:rsid w:val="00157D9E"/>
    <w:rsid w:val="00160252"/>
    <w:rsid w:val="001610DA"/>
    <w:rsid w:val="00170A70"/>
    <w:rsid w:val="00173C4B"/>
    <w:rsid w:val="00174E00"/>
    <w:rsid w:val="00175556"/>
    <w:rsid w:val="0018060A"/>
    <w:rsid w:val="00181A11"/>
    <w:rsid w:val="0018453F"/>
    <w:rsid w:val="0018795C"/>
    <w:rsid w:val="00197CB3"/>
    <w:rsid w:val="001A0532"/>
    <w:rsid w:val="001B24D2"/>
    <w:rsid w:val="001B377F"/>
    <w:rsid w:val="001B76F1"/>
    <w:rsid w:val="001C65A9"/>
    <w:rsid w:val="001C68AC"/>
    <w:rsid w:val="001D16AD"/>
    <w:rsid w:val="001D31A7"/>
    <w:rsid w:val="001D555F"/>
    <w:rsid w:val="001D5D0E"/>
    <w:rsid w:val="001D7306"/>
    <w:rsid w:val="001E22EE"/>
    <w:rsid w:val="001E2995"/>
    <w:rsid w:val="001E2DFD"/>
    <w:rsid w:val="001F1721"/>
    <w:rsid w:val="00200922"/>
    <w:rsid w:val="002022E2"/>
    <w:rsid w:val="00203D0A"/>
    <w:rsid w:val="00205306"/>
    <w:rsid w:val="00206E96"/>
    <w:rsid w:val="00210CEE"/>
    <w:rsid w:val="0021184F"/>
    <w:rsid w:val="00211F7E"/>
    <w:rsid w:val="002149BC"/>
    <w:rsid w:val="00217281"/>
    <w:rsid w:val="00217624"/>
    <w:rsid w:val="002215C9"/>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57832"/>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FAE"/>
    <w:rsid w:val="002D44B0"/>
    <w:rsid w:val="002D6467"/>
    <w:rsid w:val="002E08D4"/>
    <w:rsid w:val="002E1C05"/>
    <w:rsid w:val="002E4A6F"/>
    <w:rsid w:val="002E6088"/>
    <w:rsid w:val="002E6605"/>
    <w:rsid w:val="002E7EA8"/>
    <w:rsid w:val="002F242A"/>
    <w:rsid w:val="002F3E2C"/>
    <w:rsid w:val="002F5A7D"/>
    <w:rsid w:val="002F6ACF"/>
    <w:rsid w:val="00300691"/>
    <w:rsid w:val="00306246"/>
    <w:rsid w:val="0031040D"/>
    <w:rsid w:val="00313D8D"/>
    <w:rsid w:val="00313F9B"/>
    <w:rsid w:val="00314F0C"/>
    <w:rsid w:val="00325DE5"/>
    <w:rsid w:val="003304E0"/>
    <w:rsid w:val="00337723"/>
    <w:rsid w:val="003413DE"/>
    <w:rsid w:val="00344262"/>
    <w:rsid w:val="00344EC0"/>
    <w:rsid w:val="00346633"/>
    <w:rsid w:val="0034668C"/>
    <w:rsid w:val="00353FB4"/>
    <w:rsid w:val="00361641"/>
    <w:rsid w:val="0036222F"/>
    <w:rsid w:val="00362D76"/>
    <w:rsid w:val="00365EE1"/>
    <w:rsid w:val="003667AE"/>
    <w:rsid w:val="003673D3"/>
    <w:rsid w:val="003732C1"/>
    <w:rsid w:val="00375952"/>
    <w:rsid w:val="00376855"/>
    <w:rsid w:val="003822D9"/>
    <w:rsid w:val="00383731"/>
    <w:rsid w:val="00383EAF"/>
    <w:rsid w:val="00384A1D"/>
    <w:rsid w:val="00385471"/>
    <w:rsid w:val="00385682"/>
    <w:rsid w:val="00390A38"/>
    <w:rsid w:val="0039111D"/>
    <w:rsid w:val="00393A42"/>
    <w:rsid w:val="003A030A"/>
    <w:rsid w:val="003A0388"/>
    <w:rsid w:val="003A260B"/>
    <w:rsid w:val="003A5419"/>
    <w:rsid w:val="003A7413"/>
    <w:rsid w:val="003B0BF9"/>
    <w:rsid w:val="003B48B9"/>
    <w:rsid w:val="003B6C77"/>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93C"/>
    <w:rsid w:val="003F7FCE"/>
    <w:rsid w:val="00401A70"/>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2B44"/>
    <w:rsid w:val="004A3FF8"/>
    <w:rsid w:val="004A56C6"/>
    <w:rsid w:val="004B073B"/>
    <w:rsid w:val="004B1EE0"/>
    <w:rsid w:val="004B4380"/>
    <w:rsid w:val="004C06C4"/>
    <w:rsid w:val="004C17A5"/>
    <w:rsid w:val="004D242A"/>
    <w:rsid w:val="004D3149"/>
    <w:rsid w:val="004D39EC"/>
    <w:rsid w:val="004D51B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D5EC4"/>
    <w:rsid w:val="005E0952"/>
    <w:rsid w:val="005E0EFC"/>
    <w:rsid w:val="005E518C"/>
    <w:rsid w:val="005E5B93"/>
    <w:rsid w:val="005E6415"/>
    <w:rsid w:val="005F141E"/>
    <w:rsid w:val="005F2649"/>
    <w:rsid w:val="005F29A5"/>
    <w:rsid w:val="005F3272"/>
    <w:rsid w:val="005F4082"/>
    <w:rsid w:val="00600694"/>
    <w:rsid w:val="00603660"/>
    <w:rsid w:val="00621773"/>
    <w:rsid w:val="00621954"/>
    <w:rsid w:val="00622E7D"/>
    <w:rsid w:val="006239FB"/>
    <w:rsid w:val="00626FFD"/>
    <w:rsid w:val="00627266"/>
    <w:rsid w:val="00630C89"/>
    <w:rsid w:val="006319DE"/>
    <w:rsid w:val="00632635"/>
    <w:rsid w:val="0063422E"/>
    <w:rsid w:val="00634240"/>
    <w:rsid w:val="00634E8E"/>
    <w:rsid w:val="006355DE"/>
    <w:rsid w:val="00643FE1"/>
    <w:rsid w:val="006457FD"/>
    <w:rsid w:val="00645C58"/>
    <w:rsid w:val="0064765D"/>
    <w:rsid w:val="0065273A"/>
    <w:rsid w:val="006535A8"/>
    <w:rsid w:val="00655F2C"/>
    <w:rsid w:val="00670B98"/>
    <w:rsid w:val="006729FC"/>
    <w:rsid w:val="00677840"/>
    <w:rsid w:val="00680134"/>
    <w:rsid w:val="006802F5"/>
    <w:rsid w:val="0068191F"/>
    <w:rsid w:val="006836AF"/>
    <w:rsid w:val="00686C86"/>
    <w:rsid w:val="00687F94"/>
    <w:rsid w:val="0069430E"/>
    <w:rsid w:val="00694620"/>
    <w:rsid w:val="006A4631"/>
    <w:rsid w:val="006A48B1"/>
    <w:rsid w:val="006A779A"/>
    <w:rsid w:val="006B0538"/>
    <w:rsid w:val="006B252F"/>
    <w:rsid w:val="006B5141"/>
    <w:rsid w:val="006C234E"/>
    <w:rsid w:val="006C2A2C"/>
    <w:rsid w:val="006D035A"/>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3143"/>
    <w:rsid w:val="00706035"/>
    <w:rsid w:val="00706F3B"/>
    <w:rsid w:val="00707223"/>
    <w:rsid w:val="007127F4"/>
    <w:rsid w:val="007177EB"/>
    <w:rsid w:val="00720585"/>
    <w:rsid w:val="007249C1"/>
    <w:rsid w:val="00726482"/>
    <w:rsid w:val="00726FB9"/>
    <w:rsid w:val="00727303"/>
    <w:rsid w:val="0074046D"/>
    <w:rsid w:val="00744AFC"/>
    <w:rsid w:val="0075060D"/>
    <w:rsid w:val="00752D23"/>
    <w:rsid w:val="00756350"/>
    <w:rsid w:val="0076035F"/>
    <w:rsid w:val="007605D6"/>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9727B"/>
    <w:rsid w:val="007B4E82"/>
    <w:rsid w:val="007C0592"/>
    <w:rsid w:val="007C11CD"/>
    <w:rsid w:val="007C54F1"/>
    <w:rsid w:val="007C5812"/>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377"/>
    <w:rsid w:val="007F7B6D"/>
    <w:rsid w:val="00800A0A"/>
    <w:rsid w:val="0080262F"/>
    <w:rsid w:val="00804E6C"/>
    <w:rsid w:val="00806E16"/>
    <w:rsid w:val="00812FE0"/>
    <w:rsid w:val="0081561B"/>
    <w:rsid w:val="00816C11"/>
    <w:rsid w:val="00820FB0"/>
    <w:rsid w:val="0082515D"/>
    <w:rsid w:val="00825DB8"/>
    <w:rsid w:val="008265C4"/>
    <w:rsid w:val="008307C1"/>
    <w:rsid w:val="00837EBB"/>
    <w:rsid w:val="00842582"/>
    <w:rsid w:val="008434AB"/>
    <w:rsid w:val="00846414"/>
    <w:rsid w:val="0085454B"/>
    <w:rsid w:val="00860F43"/>
    <w:rsid w:val="00863FA0"/>
    <w:rsid w:val="008662B4"/>
    <w:rsid w:val="00874586"/>
    <w:rsid w:val="00877FE1"/>
    <w:rsid w:val="008807B5"/>
    <w:rsid w:val="00881726"/>
    <w:rsid w:val="00894C55"/>
    <w:rsid w:val="008A1C21"/>
    <w:rsid w:val="008A5D1F"/>
    <w:rsid w:val="008A677D"/>
    <w:rsid w:val="008B17D0"/>
    <w:rsid w:val="008B180E"/>
    <w:rsid w:val="008B1CC5"/>
    <w:rsid w:val="008B5C87"/>
    <w:rsid w:val="008B680B"/>
    <w:rsid w:val="008B70ED"/>
    <w:rsid w:val="008C1FAB"/>
    <w:rsid w:val="008C394F"/>
    <w:rsid w:val="008C41F3"/>
    <w:rsid w:val="008E25C6"/>
    <w:rsid w:val="008E7A39"/>
    <w:rsid w:val="008F4340"/>
    <w:rsid w:val="008F4E91"/>
    <w:rsid w:val="009033CB"/>
    <w:rsid w:val="00904423"/>
    <w:rsid w:val="009115B4"/>
    <w:rsid w:val="00913CDB"/>
    <w:rsid w:val="00921028"/>
    <w:rsid w:val="00924DCB"/>
    <w:rsid w:val="00925BA7"/>
    <w:rsid w:val="009319B3"/>
    <w:rsid w:val="00932D0F"/>
    <w:rsid w:val="0094087C"/>
    <w:rsid w:val="0094296D"/>
    <w:rsid w:val="00943235"/>
    <w:rsid w:val="00943253"/>
    <w:rsid w:val="00944CCE"/>
    <w:rsid w:val="00946355"/>
    <w:rsid w:val="00946785"/>
    <w:rsid w:val="009472A2"/>
    <w:rsid w:val="00951C10"/>
    <w:rsid w:val="00952476"/>
    <w:rsid w:val="0095422C"/>
    <w:rsid w:val="00955D37"/>
    <w:rsid w:val="0095785A"/>
    <w:rsid w:val="00957975"/>
    <w:rsid w:val="0096186D"/>
    <w:rsid w:val="00962519"/>
    <w:rsid w:val="009634AE"/>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45E3"/>
    <w:rsid w:val="009A63AC"/>
    <w:rsid w:val="009A77E3"/>
    <w:rsid w:val="009B13EF"/>
    <w:rsid w:val="009C016A"/>
    <w:rsid w:val="009C1EBA"/>
    <w:rsid w:val="009C4010"/>
    <w:rsid w:val="009C7CD1"/>
    <w:rsid w:val="009D2139"/>
    <w:rsid w:val="009D4C87"/>
    <w:rsid w:val="009D5499"/>
    <w:rsid w:val="009E1EB1"/>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0BC7"/>
    <w:rsid w:val="00A51265"/>
    <w:rsid w:val="00A5358A"/>
    <w:rsid w:val="00A5443C"/>
    <w:rsid w:val="00A54DEF"/>
    <w:rsid w:val="00A5548C"/>
    <w:rsid w:val="00A6027E"/>
    <w:rsid w:val="00A6073E"/>
    <w:rsid w:val="00A609F6"/>
    <w:rsid w:val="00A60E04"/>
    <w:rsid w:val="00A71BC3"/>
    <w:rsid w:val="00A74137"/>
    <w:rsid w:val="00A7415E"/>
    <w:rsid w:val="00A76EE9"/>
    <w:rsid w:val="00A8091C"/>
    <w:rsid w:val="00A840B4"/>
    <w:rsid w:val="00A860A6"/>
    <w:rsid w:val="00A91DD4"/>
    <w:rsid w:val="00A94255"/>
    <w:rsid w:val="00A96533"/>
    <w:rsid w:val="00AA16DE"/>
    <w:rsid w:val="00AA3202"/>
    <w:rsid w:val="00AA3A9A"/>
    <w:rsid w:val="00AB0889"/>
    <w:rsid w:val="00AB237A"/>
    <w:rsid w:val="00AB3C91"/>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371D"/>
    <w:rsid w:val="00B46D48"/>
    <w:rsid w:val="00B55CE6"/>
    <w:rsid w:val="00B60B81"/>
    <w:rsid w:val="00B61EFB"/>
    <w:rsid w:val="00B62375"/>
    <w:rsid w:val="00B64B57"/>
    <w:rsid w:val="00B64EE9"/>
    <w:rsid w:val="00B74E7B"/>
    <w:rsid w:val="00B81CD0"/>
    <w:rsid w:val="00B84E72"/>
    <w:rsid w:val="00B9197C"/>
    <w:rsid w:val="00B92C6B"/>
    <w:rsid w:val="00B92CD6"/>
    <w:rsid w:val="00BA20AA"/>
    <w:rsid w:val="00BA266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0DD"/>
    <w:rsid w:val="00BF488F"/>
    <w:rsid w:val="00C04745"/>
    <w:rsid w:val="00C04E55"/>
    <w:rsid w:val="00C15350"/>
    <w:rsid w:val="00C252BD"/>
    <w:rsid w:val="00C25B49"/>
    <w:rsid w:val="00C26C70"/>
    <w:rsid w:val="00C26E38"/>
    <w:rsid w:val="00C344C5"/>
    <w:rsid w:val="00C37B70"/>
    <w:rsid w:val="00C40D1A"/>
    <w:rsid w:val="00C46FCA"/>
    <w:rsid w:val="00C47563"/>
    <w:rsid w:val="00C50C3B"/>
    <w:rsid w:val="00C5184E"/>
    <w:rsid w:val="00C529A5"/>
    <w:rsid w:val="00C64AED"/>
    <w:rsid w:val="00C67779"/>
    <w:rsid w:val="00C67E6C"/>
    <w:rsid w:val="00C725C8"/>
    <w:rsid w:val="00C75613"/>
    <w:rsid w:val="00C77998"/>
    <w:rsid w:val="00C91084"/>
    <w:rsid w:val="00C94AB3"/>
    <w:rsid w:val="00C94B9A"/>
    <w:rsid w:val="00C9667F"/>
    <w:rsid w:val="00CA38C5"/>
    <w:rsid w:val="00CB2C57"/>
    <w:rsid w:val="00CB4213"/>
    <w:rsid w:val="00CC0CA0"/>
    <w:rsid w:val="00CC0D2D"/>
    <w:rsid w:val="00CC0E88"/>
    <w:rsid w:val="00CC145B"/>
    <w:rsid w:val="00CC651D"/>
    <w:rsid w:val="00CC74A9"/>
    <w:rsid w:val="00CD1B1B"/>
    <w:rsid w:val="00CD6EDD"/>
    <w:rsid w:val="00CE0762"/>
    <w:rsid w:val="00CE2E14"/>
    <w:rsid w:val="00CE476D"/>
    <w:rsid w:val="00CE5657"/>
    <w:rsid w:val="00CE5984"/>
    <w:rsid w:val="00CE6550"/>
    <w:rsid w:val="00CF6BD7"/>
    <w:rsid w:val="00D02359"/>
    <w:rsid w:val="00D04EF2"/>
    <w:rsid w:val="00D06C9F"/>
    <w:rsid w:val="00D0706C"/>
    <w:rsid w:val="00D103D9"/>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50B07"/>
    <w:rsid w:val="00D50E3D"/>
    <w:rsid w:val="00D51B74"/>
    <w:rsid w:val="00D54C9D"/>
    <w:rsid w:val="00D556AF"/>
    <w:rsid w:val="00D60039"/>
    <w:rsid w:val="00D63B26"/>
    <w:rsid w:val="00D67676"/>
    <w:rsid w:val="00D714D4"/>
    <w:rsid w:val="00D73E45"/>
    <w:rsid w:val="00D7406A"/>
    <w:rsid w:val="00D7625B"/>
    <w:rsid w:val="00D76267"/>
    <w:rsid w:val="00D76D09"/>
    <w:rsid w:val="00D77EF5"/>
    <w:rsid w:val="00D805DE"/>
    <w:rsid w:val="00D83A3A"/>
    <w:rsid w:val="00D8537F"/>
    <w:rsid w:val="00D8551C"/>
    <w:rsid w:val="00D8615C"/>
    <w:rsid w:val="00D9117B"/>
    <w:rsid w:val="00D91715"/>
    <w:rsid w:val="00DA48DB"/>
    <w:rsid w:val="00DB06F5"/>
    <w:rsid w:val="00DB253A"/>
    <w:rsid w:val="00DC1437"/>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21D9"/>
    <w:rsid w:val="00E13AE2"/>
    <w:rsid w:val="00E16FAE"/>
    <w:rsid w:val="00E17C10"/>
    <w:rsid w:val="00E215BD"/>
    <w:rsid w:val="00E244C4"/>
    <w:rsid w:val="00E3157A"/>
    <w:rsid w:val="00E34168"/>
    <w:rsid w:val="00E34518"/>
    <w:rsid w:val="00E3716B"/>
    <w:rsid w:val="00E4359A"/>
    <w:rsid w:val="00E46C8F"/>
    <w:rsid w:val="00E527D5"/>
    <w:rsid w:val="00E5323B"/>
    <w:rsid w:val="00E56878"/>
    <w:rsid w:val="00E62AC9"/>
    <w:rsid w:val="00E64C85"/>
    <w:rsid w:val="00E65AEC"/>
    <w:rsid w:val="00E714A8"/>
    <w:rsid w:val="00E72BCB"/>
    <w:rsid w:val="00E73617"/>
    <w:rsid w:val="00E7532F"/>
    <w:rsid w:val="00E77C64"/>
    <w:rsid w:val="00E81D56"/>
    <w:rsid w:val="00E850FF"/>
    <w:rsid w:val="00E86F2D"/>
    <w:rsid w:val="00E8749E"/>
    <w:rsid w:val="00E90C01"/>
    <w:rsid w:val="00E914FA"/>
    <w:rsid w:val="00EA2033"/>
    <w:rsid w:val="00EA2230"/>
    <w:rsid w:val="00EA2D72"/>
    <w:rsid w:val="00EA486E"/>
    <w:rsid w:val="00EB393F"/>
    <w:rsid w:val="00EC07B4"/>
    <w:rsid w:val="00EC11D3"/>
    <w:rsid w:val="00EC185D"/>
    <w:rsid w:val="00EC18E0"/>
    <w:rsid w:val="00EC1C38"/>
    <w:rsid w:val="00EC2C11"/>
    <w:rsid w:val="00ED09C8"/>
    <w:rsid w:val="00ED6D9C"/>
    <w:rsid w:val="00EE0E7A"/>
    <w:rsid w:val="00EE1C3B"/>
    <w:rsid w:val="00EE2B05"/>
    <w:rsid w:val="00EE3629"/>
    <w:rsid w:val="00EE6024"/>
    <w:rsid w:val="00EE6C02"/>
    <w:rsid w:val="00EE7EBA"/>
    <w:rsid w:val="00EF0039"/>
    <w:rsid w:val="00F03B94"/>
    <w:rsid w:val="00F226F0"/>
    <w:rsid w:val="00F259E5"/>
    <w:rsid w:val="00F30A36"/>
    <w:rsid w:val="00F32B97"/>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632A"/>
    <w:rsid w:val="00FB266E"/>
    <w:rsid w:val="00FC75C9"/>
    <w:rsid w:val="00FD203F"/>
    <w:rsid w:val="00FD2B44"/>
    <w:rsid w:val="00FD31D2"/>
    <w:rsid w:val="00FD59DD"/>
    <w:rsid w:val="00FD72DE"/>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60AC3"/>
  <w15:docId w15:val="{1FB32132-DB24-46EA-A68E-6B0EE87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1">
    <w:name w:val="Unresolved Mention1"/>
    <w:basedOn w:val="DefaultParagraphFont"/>
    <w:uiPriority w:val="99"/>
    <w:semiHidden/>
    <w:unhideWhenUsed/>
    <w:rsid w:val="00B62375"/>
    <w:rPr>
      <w:color w:val="605E5C"/>
      <w:shd w:val="clear" w:color="auto" w:fill="E1DFDD"/>
    </w:rPr>
  </w:style>
  <w:style w:type="paragraph" w:styleId="ListParagraph">
    <w:name w:val="List Paragraph"/>
    <w:basedOn w:val="Normal"/>
    <w:uiPriority w:val="34"/>
    <w:qFormat/>
    <w:rsid w:val="003F793C"/>
    <w:pPr>
      <w:ind w:left="720"/>
      <w:contextualSpacing/>
    </w:pPr>
  </w:style>
  <w:style w:type="character" w:styleId="CommentReference">
    <w:name w:val="annotation reference"/>
    <w:basedOn w:val="DefaultParagraphFont"/>
    <w:uiPriority w:val="99"/>
    <w:semiHidden/>
    <w:unhideWhenUsed/>
    <w:rsid w:val="009E1EB1"/>
    <w:rPr>
      <w:sz w:val="16"/>
      <w:szCs w:val="16"/>
    </w:rPr>
  </w:style>
  <w:style w:type="paragraph" w:styleId="CommentText">
    <w:name w:val="annotation text"/>
    <w:basedOn w:val="Normal"/>
    <w:link w:val="CommentTextChar"/>
    <w:uiPriority w:val="99"/>
    <w:semiHidden/>
    <w:unhideWhenUsed/>
    <w:rsid w:val="009E1EB1"/>
    <w:pPr>
      <w:spacing w:line="240" w:lineRule="auto"/>
    </w:pPr>
    <w:rPr>
      <w:sz w:val="20"/>
      <w:szCs w:val="20"/>
    </w:rPr>
  </w:style>
  <w:style w:type="character" w:customStyle="1" w:styleId="CommentTextChar">
    <w:name w:val="Comment Text Char"/>
    <w:basedOn w:val="DefaultParagraphFont"/>
    <w:link w:val="CommentText"/>
    <w:uiPriority w:val="99"/>
    <w:semiHidden/>
    <w:rsid w:val="009E1EB1"/>
    <w:rPr>
      <w:sz w:val="20"/>
      <w:szCs w:val="20"/>
    </w:rPr>
  </w:style>
  <w:style w:type="paragraph" w:styleId="CommentSubject">
    <w:name w:val="annotation subject"/>
    <w:basedOn w:val="CommentText"/>
    <w:next w:val="CommentText"/>
    <w:link w:val="CommentSubjectChar"/>
    <w:uiPriority w:val="99"/>
    <w:semiHidden/>
    <w:unhideWhenUsed/>
    <w:rsid w:val="009E1EB1"/>
    <w:rPr>
      <w:b/>
      <w:bCs/>
    </w:rPr>
  </w:style>
  <w:style w:type="character" w:customStyle="1" w:styleId="CommentSubjectChar">
    <w:name w:val="Comment Subject Char"/>
    <w:basedOn w:val="CommentTextChar"/>
    <w:link w:val="CommentSubject"/>
    <w:uiPriority w:val="99"/>
    <w:semiHidden/>
    <w:rsid w:val="009E1EB1"/>
    <w:rPr>
      <w:b/>
      <w:bCs/>
      <w:sz w:val="20"/>
      <w:szCs w:val="20"/>
    </w:rPr>
  </w:style>
  <w:style w:type="character" w:styleId="UnresolvedMention">
    <w:name w:val="Unresolved Mention"/>
    <w:basedOn w:val="DefaultParagraphFont"/>
    <w:uiPriority w:val="99"/>
    <w:semiHidden/>
    <w:unhideWhenUsed/>
    <w:rsid w:val="0060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rts.Malnieks@possessor.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vins.kapostins@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96F36-19D7-4F86-8C8C-A7C6227B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CEE15-AEAA-4E3D-B7EB-EE2ADD8E6AA2}">
  <ds:schemaRefs>
    <ds:schemaRef ds:uri="http://schemas.openxmlformats.org/officeDocument/2006/bibliography"/>
  </ds:schemaRefs>
</ds:datastoreItem>
</file>

<file path=customXml/itemProps3.xml><?xml version="1.0" encoding="utf-8"?>
<ds:datastoreItem xmlns:ds="http://schemas.openxmlformats.org/officeDocument/2006/customXml" ds:itemID="{1DCF1095-341B-44A5-8157-BE302FA35995}">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122e0e09-afb4-4bf9-abab-ecc4519bc6eb"/>
    <ds:schemaRef ds:uri="http://purl.org/dc/dcmitype/"/>
    <ds:schemaRef ds:uri="http://schemas.microsoft.com/office/infopath/2007/PartnerControls"/>
    <ds:schemaRef ds:uri="ace8e44c-fa88-44c0-8590-dfda63664a63"/>
    <ds:schemaRef ds:uri="http://purl.org/dc/elements/1.1/"/>
  </ds:schemaRefs>
</ds:datastoreItem>
</file>

<file path=customXml/itemProps4.xml><?xml version="1.0" encoding="utf-8"?>
<ds:datastoreItem xmlns:ds="http://schemas.openxmlformats.org/officeDocument/2006/customXml" ds:itemID="{8428CDE1-70D4-48BF-857E-6ACCC1D365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7734</Words>
  <Characters>4409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piekrītošo nekustamo īpašumu nodošanu Rīgas pilsētas pašvaldības īpašumā</vt:lpstr>
      <vt:lpstr>Par valstij piekrītošo nekustamo īpašumu nodošanu Rīgas pilsētas pašvaldības īpašumā</vt:lpstr>
    </vt:vector>
  </TitlesOfParts>
  <Company>VARAM</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nekustamo īpašumu nodošanu Rīgas pilsētas pašvaldības īpašumā</dc:title>
  <dc:subject>Anotācija</dc:subject>
  <dc:creator>Edvīns Kāpostiņš</dc:creator>
  <dc:description>67026565, edvins.kapostins@varam.gov.lv</dc:description>
  <cp:lastModifiedBy>Madara Gaile</cp:lastModifiedBy>
  <cp:revision>5</cp:revision>
  <cp:lastPrinted>2020-06-18T08:52:00Z</cp:lastPrinted>
  <dcterms:created xsi:type="dcterms:W3CDTF">2021-05-21T11:30:00Z</dcterms:created>
  <dcterms:modified xsi:type="dcterms:W3CDTF">2021-06-10T05:47:00Z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